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12                                   </w:t>
      </w:r>
      <w:bookmarkStart w:id="3" w:name="_GoBack"/>
      <w:bookmarkEnd w:id="3"/>
      <w:r>
        <w:rPr>
          <w:rFonts w:hint="eastAsia" w:ascii="Arial" w:hAnsi="Arial" w:cs="Arial"/>
          <w:b/>
          <w:sz w:val="24"/>
          <w:szCs w:val="24"/>
          <w:lang w:val="en-US" w:eastAsia="zh-CN"/>
        </w:rPr>
        <w:t>R4-2412792</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M</w:t>
      </w:r>
      <w:r>
        <w:rPr>
          <w:rFonts w:hint="eastAsia" w:ascii="Arial" w:hAnsi="Arial" w:cs="Arial"/>
          <w:b/>
          <w:kern w:val="2"/>
          <w:sz w:val="24"/>
          <w:szCs w:val="24"/>
          <w:lang w:val="en-US" w:eastAsia="zh-CN" w:bidi="ar-SA"/>
        </w:rPr>
        <w:t>a</w:t>
      </w:r>
      <w:r>
        <w:rPr>
          <w:rFonts w:hint="eastAsia" w:ascii="Arial" w:hAnsi="Arial" w:eastAsia="宋体" w:cs="Arial"/>
          <w:b/>
          <w:kern w:val="2"/>
          <w:sz w:val="24"/>
          <w:szCs w:val="24"/>
          <w:lang w:val="en-US" w:eastAsia="zh-CN" w:bidi="ar-SA"/>
        </w:rPr>
        <w:t>astricht, Netherlands, 19 – 23 August, 2024</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testability and interoperability issues for AI-CSI</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8.17.4</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rFonts w:hint="eastAsia"/>
          <w:szCs w:val="22"/>
          <w:lang w:val="en-US" w:eastAsia="zh-CN"/>
        </w:rPr>
      </w:pPr>
      <w:r>
        <w:rPr>
          <w:b/>
          <w:kern w:val="0"/>
          <w:sz w:val="24"/>
          <w:szCs w:val="24"/>
        </w:rPr>
        <w:t>1 Introduction</w:t>
      </w:r>
    </w:p>
    <w:p>
      <w:pPr>
        <w:spacing w:before="120" w:after="120"/>
        <w:rPr>
          <w:rFonts w:hint="default"/>
          <w:szCs w:val="22"/>
          <w:lang w:val="en-US" w:eastAsia="zh-CN"/>
        </w:rPr>
      </w:pPr>
      <w:r>
        <w:rPr>
          <w:rFonts w:hint="default"/>
          <w:szCs w:val="22"/>
          <w:lang w:val="en-US" w:eastAsia="zh-CN"/>
        </w:rPr>
        <w:t xml:space="preserve">In RAN #102 meeting, the WID on Artificial Intelligence (AI)/Machine Learning (ML) for NR Air Interface was approved [1]. The objectives for RAN4 are </w:t>
      </w:r>
      <w:r>
        <w:rPr>
          <w:rFonts w:hint="eastAsia"/>
          <w:szCs w:val="22"/>
          <w:lang w:val="en-US" w:eastAsia="zh-CN"/>
        </w:rPr>
        <w:t>shown in following table</w:t>
      </w:r>
      <w:r>
        <w:rPr>
          <w:rFonts w:hint="default"/>
          <w:szCs w:val="22"/>
          <w:lang w:val="en-US" w:eastAsia="zh-CN"/>
        </w:rPr>
        <w:t>.</w:t>
      </w:r>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pPr>
              <w:keepNext w:val="0"/>
              <w:keepLines w:val="0"/>
              <w:widowControl/>
              <w:numPr>
                <w:ilvl w:val="0"/>
                <w:numId w:val="7"/>
              </w:numPr>
              <w:suppressLineNumbers w:val="0"/>
              <w:spacing w:before="0" w:beforeAutospacing="0" w:after="0" w:afterAutospacing="0"/>
              <w:ind w:left="30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pPr>
              <w:keepNext w:val="0"/>
              <w:keepLines w:val="0"/>
              <w:widowControl/>
              <w:numPr>
                <w:ilvl w:val="1"/>
                <w:numId w:val="7"/>
              </w:numPr>
              <w:suppressLineNumbers w:val="0"/>
              <w:spacing w:before="0" w:beforeAutospacing="0" w:after="0" w:afterAutospacing="0"/>
              <w:ind w:left="102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pPr>
        <w:spacing w:before="120" w:after="120"/>
        <w:rPr>
          <w:rFonts w:hint="default"/>
          <w:szCs w:val="22"/>
          <w:lang w:val="en-US" w:eastAsia="zh-CN"/>
        </w:rPr>
      </w:pPr>
      <w:r>
        <w:rPr>
          <w:rFonts w:hint="eastAsia"/>
          <w:szCs w:val="22"/>
          <w:lang w:val="en-US" w:eastAsia="zh-CN"/>
        </w:rPr>
        <w:t>During the last meeting, some conclusions has been reached for CSI compression and CSI prediction[2]. In the following section, we will provide the detailed discussions for CSI compression and prediction.</w:t>
      </w: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rPr>
        <w:t xml:space="preserve">2 </w:t>
      </w:r>
      <w:r>
        <w:rPr>
          <w:b/>
          <w:kern w:val="0"/>
          <w:sz w:val="24"/>
          <w:szCs w:val="24"/>
        </w:rPr>
        <w:t>Discussion</w:t>
      </w:r>
    </w:p>
    <w:p>
      <w:pPr>
        <w:rPr>
          <w:rFonts w:hint="default" w:eastAsiaTheme="minorEastAsia"/>
          <w:b/>
          <w:sz w:val="21"/>
          <w:szCs w:val="21"/>
          <w:u w:val="single"/>
          <w:lang w:val="en-US" w:eastAsia="zh-CN"/>
        </w:rPr>
      </w:pPr>
      <w:r>
        <w:rPr>
          <w:rFonts w:hint="eastAsia" w:eastAsiaTheme="minorEastAsia"/>
          <w:b/>
          <w:sz w:val="21"/>
          <w:szCs w:val="21"/>
          <w:u w:val="single"/>
          <w:lang w:val="en-US" w:eastAsia="zh-CN"/>
        </w:rPr>
        <w:t>Option 3 for 2-side model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eastAsiaTheme="minorEastAsia"/>
                <w:b/>
                <w:sz w:val="21"/>
                <w:szCs w:val="21"/>
                <w:u w:val="single"/>
                <w:vertAlign w:val="baseline"/>
                <w:lang w:val="en-US" w:eastAsia="ko-KR"/>
              </w:rPr>
            </w:pPr>
            <w:r>
              <w:rPr>
                <w:rFonts w:hint="eastAsia" w:eastAsiaTheme="minorEastAsia"/>
                <w:b/>
                <w:sz w:val="21"/>
                <w:szCs w:val="21"/>
                <w:u w:val="single"/>
                <w:vertAlign w:val="baseline"/>
                <w:lang w:val="en-US" w:eastAsia="ko-KR"/>
              </w:rPr>
              <w:t>Agreements about the parameters used in the simulations for checking the feasibility of testing options for CSI compression and prediction:</w:t>
            </w:r>
          </w:p>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eastAsia" w:eastAsiaTheme="minorEastAsia"/>
                <w:b/>
                <w:sz w:val="21"/>
                <w:szCs w:val="21"/>
                <w:u w:val="single"/>
                <w:vertAlign w:val="baseline"/>
                <w:lang w:val="en-US" w:eastAsia="ko-KR"/>
              </w:rPr>
            </w:pPr>
            <w:r>
              <w:rPr>
                <w:rFonts w:hint="eastAsia" w:eastAsia="游明朝"/>
                <w:iCs/>
                <w:kern w:val="0"/>
                <w:sz w:val="20"/>
                <w:szCs w:val="20"/>
                <w:lang w:val="en-GB" w:eastAsia="ja-JP"/>
              </w:rPr>
              <w:t>Agreement:</w:t>
            </w:r>
          </w:p>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游明朝"/>
                <w:iCs/>
                <w:kern w:val="0"/>
                <w:sz w:val="20"/>
                <w:szCs w:val="20"/>
                <w:lang w:val="en-GB" w:eastAsia="ja-JP"/>
              </w:rPr>
            </w:pPr>
            <w:r>
              <w:rPr>
                <w:rFonts w:hint="eastAsia" w:eastAsia="游明朝"/>
                <w:iCs/>
                <w:kern w:val="0"/>
                <w:sz w:val="20"/>
                <w:szCs w:val="20"/>
                <w:lang w:val="en-GB" w:eastAsia="ja-JP"/>
              </w:rPr>
              <w:t xml:space="preserve">Parameters agreed are just for the feasibility study of testing options. </w:t>
            </w:r>
          </w:p>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eastAsia" w:eastAsiaTheme="minorEastAsia"/>
                <w:b/>
                <w:sz w:val="21"/>
                <w:szCs w:val="21"/>
                <w:u w:val="single"/>
                <w:vertAlign w:val="baseline"/>
                <w:lang w:val="en-US" w:eastAsia="ko-KR"/>
              </w:rPr>
            </w:pPr>
            <w:r>
              <w:rPr>
                <w:rFonts w:hint="eastAsia" w:eastAsia="游明朝"/>
                <w:iCs/>
                <w:kern w:val="0"/>
                <w:sz w:val="20"/>
                <w:szCs w:val="20"/>
                <w:lang w:val="en-GB" w:eastAsia="ja-JP"/>
              </w:rPr>
              <w:t xml:space="preserve">If/when RAN4 discusses requirement </w:t>
            </w:r>
            <w:r>
              <w:rPr>
                <w:rFonts w:hint="default" w:eastAsia="游明朝"/>
                <w:iCs/>
                <w:kern w:val="0"/>
                <w:sz w:val="20"/>
                <w:szCs w:val="20"/>
                <w:lang w:val="en-GB" w:eastAsia="ja-JP"/>
              </w:rPr>
              <w:t>definition</w:t>
            </w:r>
            <w:r>
              <w:rPr>
                <w:rFonts w:hint="eastAsia" w:eastAsia="游明朝"/>
                <w:iCs/>
                <w:kern w:val="0"/>
                <w:sz w:val="20"/>
                <w:szCs w:val="20"/>
                <w:lang w:val="en-GB" w:eastAsia="ja-JP"/>
              </w:rPr>
              <w:t>, RAN4 will define a new test decoder which may or may not reuse any of the parameters agreed in the feasibility study.</w:t>
            </w:r>
          </w:p>
        </w:tc>
      </w:tr>
    </w:tbl>
    <w:p>
      <w:pPr>
        <w:jc w:val="both"/>
        <w:rPr>
          <w:rFonts w:hint="eastAsia" w:cs="Times New Roman"/>
          <w:b w:val="0"/>
          <w:bCs/>
          <w:szCs w:val="20"/>
          <w:u w:val="none"/>
          <w:lang w:val="en-US" w:eastAsia="zh-CN"/>
        </w:rPr>
      </w:pPr>
      <w:r>
        <w:rPr>
          <w:rFonts w:hint="eastAsia" w:ascii="Times New Roman" w:hAnsi="Times New Roman" w:cs="Times New Roman"/>
          <w:b w:val="0"/>
          <w:bCs/>
          <w:szCs w:val="20"/>
          <w:u w:val="none"/>
          <w:lang w:val="en-US" w:eastAsia="zh-CN"/>
        </w:rPr>
        <w:t xml:space="preserve">At the last meeting, </w:t>
      </w:r>
      <w:r>
        <w:rPr>
          <w:rFonts w:hint="eastAsia" w:cs="Times New Roman"/>
          <w:b w:val="0"/>
          <w:bCs/>
          <w:szCs w:val="20"/>
          <w:u w:val="none"/>
          <w:lang w:val="en-US" w:eastAsia="zh-CN"/>
        </w:rPr>
        <w:t>RAN4 discussed how to align the simulation results between different companies for option 3. RAN4 tried to align the AI model structure, parameters and other related parameters., After email discussion, RAN4 agreed on all AI mode parameters for simulation evaluation. Hence, we provide our simulation results based on the assumptions from RAN4. The detailed assumptions as shown in Appendix. The test metric of SGCS as shown in following.</w:t>
      </w:r>
    </w:p>
    <w:p>
      <w:pPr>
        <w:jc w:val="center"/>
        <w:rPr>
          <w:rFonts w:hint="default" w:cs="Times New Roman"/>
          <w:b w:val="0"/>
          <w:bCs/>
          <w:szCs w:val="20"/>
          <w:u w:val="none"/>
          <w:lang w:val="en-US" w:eastAsia="zh-CN"/>
        </w:rPr>
      </w:pPr>
      <w:r>
        <w:rPr>
          <w:rFonts w:hint="eastAsia" w:cs="Times New Roman"/>
          <w:b w:val="0"/>
          <w:bCs/>
          <w:szCs w:val="20"/>
          <w:u w:val="none"/>
          <w:lang w:val="en-US" w:eastAsia="zh-CN"/>
        </w:rPr>
        <w:t>Table 1. Simulation results for rank1</w:t>
      </w:r>
    </w:p>
    <w:tbl>
      <w:tblPr>
        <w:tblStyle w:val="22"/>
        <w:tblW w:w="6367" w:type="dxa"/>
        <w:jc w:val="center"/>
        <w:tblLayout w:type="fixed"/>
        <w:tblCellMar>
          <w:top w:w="0" w:type="dxa"/>
          <w:left w:w="108" w:type="dxa"/>
          <w:bottom w:w="0" w:type="dxa"/>
          <w:right w:w="108" w:type="dxa"/>
        </w:tblCellMar>
      </w:tblPr>
      <w:tblGrid>
        <w:gridCol w:w="1061"/>
        <w:gridCol w:w="1066"/>
        <w:gridCol w:w="2"/>
        <w:gridCol w:w="2129"/>
        <w:gridCol w:w="2109"/>
      </w:tblGrid>
      <w:tr>
        <w:tblPrEx>
          <w:tblCellMar>
            <w:top w:w="0" w:type="dxa"/>
            <w:left w:w="108" w:type="dxa"/>
            <w:bottom w:w="0" w:type="dxa"/>
            <w:right w:w="108" w:type="dxa"/>
          </w:tblCellMar>
        </w:tblPrEx>
        <w:trPr>
          <w:trHeight w:val="234" w:hRule="atLeast"/>
          <w:jc w:val="center"/>
        </w:trPr>
        <w:tc>
          <w:tcPr>
            <w:tcW w:w="2127"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Model structure</w:t>
            </w:r>
          </w:p>
        </w:tc>
        <w:tc>
          <w:tcPr>
            <w:tcW w:w="213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CNN</w:t>
            </w:r>
          </w:p>
        </w:tc>
        <w:tc>
          <w:tcPr>
            <w:tcW w:w="2109"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eastAsia" w:eastAsia="等线"/>
                <w:color w:val="000000"/>
                <w:sz w:val="18"/>
                <w:szCs w:val="20"/>
                <w:lang w:val="en-US" w:eastAsia="zh-CN"/>
              </w:rPr>
              <w:t>eType II</w:t>
            </w:r>
          </w:p>
        </w:tc>
      </w:tr>
      <w:tr>
        <w:tblPrEx>
          <w:tblCellMar>
            <w:top w:w="0" w:type="dxa"/>
            <w:left w:w="108" w:type="dxa"/>
            <w:bottom w:w="0" w:type="dxa"/>
            <w:right w:w="108" w:type="dxa"/>
          </w:tblCellMar>
        </w:tblPrEx>
        <w:trPr>
          <w:trHeight w:val="234" w:hRule="atLeast"/>
          <w:jc w:val="center"/>
        </w:trPr>
        <w:tc>
          <w:tcPr>
            <w:tcW w:w="1061"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CSI feedback bits</w:t>
            </w:r>
          </w:p>
        </w:tc>
        <w:tc>
          <w:tcPr>
            <w:tcW w:w="106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Training dataset</w:t>
            </w:r>
          </w:p>
        </w:tc>
        <w:tc>
          <w:tcPr>
            <w:tcW w:w="213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Test dataset</w:t>
            </w:r>
          </w:p>
        </w:tc>
        <w:tc>
          <w:tcPr>
            <w:tcW w:w="2109"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eastAsia" w:eastAsia="等线"/>
                <w:color w:val="000000"/>
                <w:sz w:val="18"/>
                <w:szCs w:val="20"/>
                <w:lang w:val="en-US" w:eastAsia="zh-CN"/>
              </w:rPr>
              <w:t>/</w:t>
            </w:r>
          </w:p>
        </w:tc>
      </w:tr>
      <w:tr>
        <w:tblPrEx>
          <w:tblCellMar>
            <w:top w:w="0" w:type="dxa"/>
            <w:left w:w="108" w:type="dxa"/>
            <w:bottom w:w="0" w:type="dxa"/>
            <w:right w:w="108" w:type="dxa"/>
          </w:tblCellMar>
        </w:tblPrEx>
        <w:trPr>
          <w:trHeight w:val="168"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24" w:beforeLines="10" w:beforeAutospacing="0" w:after="24" w:afterLines="10" w:afterAutospacing="0" w:line="288" w:lineRule="auto"/>
              <w:ind w:left="0" w:right="0"/>
              <w:rPr>
                <w:rFonts w:hint="default" w:eastAsia="等线"/>
                <w:color w:val="000000"/>
                <w:sz w:val="18"/>
                <w:szCs w:val="20"/>
                <w:lang w:val="en-US"/>
              </w:rPr>
            </w:pPr>
          </w:p>
        </w:tc>
        <w:tc>
          <w:tcPr>
            <w:tcW w:w="106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p>
        </w:tc>
        <w:tc>
          <w:tcPr>
            <w:tcW w:w="213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UMa</w:t>
            </w:r>
          </w:p>
        </w:tc>
        <w:tc>
          <w:tcPr>
            <w:tcW w:w="210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default" w:eastAsia="等线"/>
                <w:color w:val="000000"/>
                <w:sz w:val="18"/>
                <w:szCs w:val="20"/>
                <w:lang w:val="en-US"/>
              </w:rPr>
              <w:t>UMa</w:t>
            </w:r>
          </w:p>
        </w:tc>
      </w:tr>
      <w:tr>
        <w:tblPrEx>
          <w:tblCellMar>
            <w:top w:w="0" w:type="dxa"/>
            <w:left w:w="108" w:type="dxa"/>
            <w:bottom w:w="0" w:type="dxa"/>
            <w:right w:w="108" w:type="dxa"/>
          </w:tblCellMar>
        </w:tblPrEx>
        <w:trPr>
          <w:trHeight w:val="460" w:hRule="atLeast"/>
          <w:jc w:val="center"/>
        </w:trPr>
        <w:tc>
          <w:tcPr>
            <w:tcW w:w="106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eastAsia" w:eastAsia="等线"/>
                <w:color w:val="000000"/>
                <w:sz w:val="18"/>
                <w:szCs w:val="20"/>
                <w:lang w:val="en-US" w:eastAsia="zh-CN"/>
              </w:rPr>
              <w:t>64</w:t>
            </w:r>
            <w:r>
              <w:rPr>
                <w:rFonts w:hint="default" w:eastAsia="等线"/>
                <w:color w:val="000000"/>
                <w:sz w:val="18"/>
                <w:szCs w:val="20"/>
                <w:lang w:val="en-US"/>
              </w:rPr>
              <w:t xml:space="preserve"> bits</w:t>
            </w:r>
          </w:p>
        </w:tc>
        <w:tc>
          <w:tcPr>
            <w:tcW w:w="106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default" w:eastAsia="等线"/>
                <w:color w:val="000000"/>
                <w:sz w:val="18"/>
                <w:szCs w:val="20"/>
                <w:lang w:val="en-US"/>
              </w:rPr>
              <w:t>UMa</w:t>
            </w:r>
          </w:p>
        </w:tc>
        <w:tc>
          <w:tcPr>
            <w:tcW w:w="2131"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0.7294</w:t>
            </w:r>
          </w:p>
        </w:tc>
        <w:tc>
          <w:tcPr>
            <w:tcW w:w="210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0.6803</w:t>
            </w:r>
          </w:p>
        </w:tc>
      </w:tr>
      <w:tr>
        <w:tblPrEx>
          <w:tblCellMar>
            <w:top w:w="0" w:type="dxa"/>
            <w:left w:w="108" w:type="dxa"/>
            <w:bottom w:w="0" w:type="dxa"/>
            <w:right w:w="108" w:type="dxa"/>
          </w:tblCellMar>
        </w:tblPrEx>
        <w:trPr>
          <w:trHeight w:val="460" w:hRule="atLeast"/>
          <w:jc w:val="center"/>
        </w:trPr>
        <w:tc>
          <w:tcPr>
            <w:tcW w:w="212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FLOPS and size</w:t>
            </w:r>
          </w:p>
        </w:tc>
        <w:tc>
          <w:tcPr>
            <w:tcW w:w="21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both"/>
              <w:rPr>
                <w:rFonts w:hint="eastAsia" w:eastAsia="等线"/>
                <w:color w:val="000000"/>
                <w:sz w:val="18"/>
                <w:szCs w:val="20"/>
                <w:lang w:val="en-US" w:eastAsia="zh-CN"/>
              </w:rPr>
            </w:pPr>
            <w:r>
              <w:rPr>
                <w:rFonts w:hint="default" w:eastAsia="等线"/>
                <w:color w:val="000000"/>
                <w:sz w:val="18"/>
                <w:szCs w:val="20"/>
                <w:lang w:val="en-US"/>
              </w:rPr>
              <w:t>FLOPS</w:t>
            </w:r>
            <w:r>
              <w:rPr>
                <w:rFonts w:hint="eastAsia" w:eastAsia="等线"/>
                <w:color w:val="000000"/>
                <w:sz w:val="18"/>
                <w:szCs w:val="20"/>
                <w:lang w:val="en-US" w:eastAsia="zh-CN"/>
              </w:rPr>
              <w:t>:</w:t>
            </w:r>
          </w:p>
          <w:p>
            <w:pPr>
              <w:keepNext w:val="0"/>
              <w:keepLines w:val="0"/>
              <w:widowControl/>
              <w:suppressLineNumbers w:val="0"/>
              <w:spacing w:before="24" w:beforeLines="10" w:beforeAutospacing="0" w:after="24" w:afterLines="10" w:afterAutospacing="0" w:line="288" w:lineRule="auto"/>
              <w:ind w:left="0" w:right="0"/>
              <w:jc w:val="both"/>
              <w:rPr>
                <w:rFonts w:hint="eastAsia" w:eastAsia="等线"/>
                <w:color w:val="000000"/>
                <w:sz w:val="18"/>
                <w:szCs w:val="20"/>
                <w:lang w:val="en-US" w:eastAsia="zh-CN"/>
              </w:rPr>
            </w:pPr>
            <w:r>
              <w:rPr>
                <w:rFonts w:hint="eastAsia" w:eastAsia="等线"/>
                <w:color w:val="000000"/>
                <w:sz w:val="18"/>
                <w:szCs w:val="20"/>
                <w:lang w:val="en-US" w:eastAsia="zh-CN"/>
              </w:rPr>
              <w:t>Encoder: 46.966M</w:t>
            </w:r>
          </w:p>
          <w:p>
            <w:pPr>
              <w:keepNext w:val="0"/>
              <w:keepLines w:val="0"/>
              <w:widowControl/>
              <w:suppressLineNumbers w:val="0"/>
              <w:spacing w:before="24" w:beforeLines="10" w:beforeAutospacing="0" w:after="24" w:afterLines="10" w:afterAutospacing="0" w:line="288" w:lineRule="auto"/>
              <w:ind w:left="0" w:right="0"/>
              <w:jc w:val="both"/>
              <w:rPr>
                <w:rFonts w:hint="default" w:eastAsia="等线"/>
                <w:color w:val="000000"/>
                <w:sz w:val="18"/>
                <w:szCs w:val="20"/>
                <w:lang w:val="en-US" w:eastAsia="zh-CN"/>
              </w:rPr>
            </w:pPr>
            <w:r>
              <w:rPr>
                <w:rFonts w:hint="eastAsia" w:eastAsia="等线"/>
                <w:color w:val="000000"/>
                <w:sz w:val="18"/>
                <w:szCs w:val="20"/>
                <w:lang w:val="en-US" w:eastAsia="zh-CN"/>
              </w:rPr>
              <w:t>Decoder: 739.965M</w:t>
            </w:r>
          </w:p>
          <w:p>
            <w:pPr>
              <w:keepNext w:val="0"/>
              <w:keepLines w:val="0"/>
              <w:widowControl/>
              <w:suppressLineNumbers w:val="0"/>
              <w:spacing w:before="24" w:beforeLines="10" w:beforeAutospacing="0" w:after="24" w:afterLines="10" w:afterAutospacing="0" w:line="288" w:lineRule="auto"/>
              <w:ind w:left="0" w:right="0"/>
              <w:jc w:val="both"/>
              <w:rPr>
                <w:rFonts w:hint="default" w:eastAsia="等线"/>
                <w:color w:val="000000"/>
                <w:sz w:val="18"/>
                <w:szCs w:val="20"/>
                <w:lang w:val="en-US" w:eastAsia="zh-CN"/>
              </w:rPr>
            </w:pPr>
            <w:r>
              <w:rPr>
                <w:rFonts w:hint="eastAsia" w:eastAsia="等线"/>
                <w:color w:val="000000"/>
                <w:sz w:val="18"/>
                <w:szCs w:val="20"/>
                <w:lang w:val="en-US" w:eastAsia="zh-CN"/>
              </w:rPr>
              <w:t>Parameters Num: 1.928M</w:t>
            </w:r>
          </w:p>
        </w:tc>
        <w:tc>
          <w:tcPr>
            <w:tcW w:w="21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eastAsia" w:eastAsia="等线"/>
                <w:color w:val="000000"/>
                <w:sz w:val="18"/>
                <w:szCs w:val="20"/>
                <w:lang w:val="en-US" w:eastAsia="zh-CN"/>
              </w:rPr>
              <w:t>/</w:t>
            </w:r>
          </w:p>
        </w:tc>
      </w:tr>
    </w:tbl>
    <w:p>
      <w:pPr>
        <w:jc w:val="both"/>
        <w:rPr>
          <w:rFonts w:hint="eastAsia" w:cs="Times New Roman"/>
          <w:b w:val="0"/>
          <w:bCs/>
          <w:szCs w:val="20"/>
          <w:u w:val="none"/>
          <w:lang w:val="en-US" w:eastAsia="zh-CN"/>
        </w:rPr>
      </w:pPr>
      <w:r>
        <w:rPr>
          <w:rFonts w:hint="eastAsia" w:cs="Times New Roman"/>
          <w:b w:val="0"/>
          <w:bCs/>
          <w:szCs w:val="20"/>
          <w:u w:val="none"/>
          <w:lang w:val="en-US" w:eastAsia="zh-CN"/>
        </w:rPr>
        <w:t xml:space="preserve"> </w:t>
      </w:r>
    </w:p>
    <w:p>
      <w:pPr>
        <w:jc w:val="center"/>
        <w:rPr>
          <w:rFonts w:hint="default" w:cs="Times New Roman"/>
          <w:b w:val="0"/>
          <w:bCs/>
          <w:szCs w:val="20"/>
          <w:u w:val="none"/>
          <w:lang w:val="en-US" w:eastAsia="zh-CN"/>
        </w:rPr>
      </w:pPr>
      <w:r>
        <w:rPr>
          <w:rFonts w:hint="eastAsia" w:cs="Times New Roman"/>
          <w:b w:val="0"/>
          <w:bCs/>
          <w:szCs w:val="20"/>
          <w:u w:val="none"/>
          <w:lang w:val="en-US" w:eastAsia="zh-CN"/>
        </w:rPr>
        <w:t>Table 2. Simulation results for rank 2</w:t>
      </w:r>
    </w:p>
    <w:tbl>
      <w:tblPr>
        <w:tblStyle w:val="22"/>
        <w:tblW w:w="8523" w:type="dxa"/>
        <w:jc w:val="center"/>
        <w:tblLayout w:type="fixed"/>
        <w:tblCellMar>
          <w:top w:w="0" w:type="dxa"/>
          <w:left w:w="108" w:type="dxa"/>
          <w:bottom w:w="0" w:type="dxa"/>
          <w:right w:w="108" w:type="dxa"/>
        </w:tblCellMar>
      </w:tblPr>
      <w:tblGrid>
        <w:gridCol w:w="1415"/>
        <w:gridCol w:w="1418"/>
        <w:gridCol w:w="1424"/>
        <w:gridCol w:w="1421"/>
        <w:gridCol w:w="1422"/>
        <w:gridCol w:w="1423"/>
      </w:tblGrid>
      <w:tr>
        <w:tblPrEx>
          <w:tblCellMar>
            <w:top w:w="0" w:type="dxa"/>
            <w:left w:w="108" w:type="dxa"/>
            <w:bottom w:w="0" w:type="dxa"/>
            <w:right w:w="108" w:type="dxa"/>
          </w:tblCellMar>
        </w:tblPrEx>
        <w:trPr>
          <w:trHeight w:val="234" w:hRule="atLeast"/>
          <w:jc w:val="center"/>
        </w:trPr>
        <w:tc>
          <w:tcPr>
            <w:tcW w:w="2833"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Model structure</w:t>
            </w:r>
          </w:p>
        </w:tc>
        <w:tc>
          <w:tcPr>
            <w:tcW w:w="284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CNN</w:t>
            </w:r>
          </w:p>
        </w:tc>
        <w:tc>
          <w:tcPr>
            <w:tcW w:w="284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eastAsia" w:eastAsia="等线"/>
                <w:color w:val="000000"/>
                <w:sz w:val="18"/>
                <w:szCs w:val="20"/>
                <w:lang w:val="en-US" w:eastAsia="zh-CN"/>
              </w:rPr>
              <w:t>eType II (118bits)</w:t>
            </w:r>
          </w:p>
        </w:tc>
      </w:tr>
      <w:tr>
        <w:tblPrEx>
          <w:tblCellMar>
            <w:top w:w="0" w:type="dxa"/>
            <w:left w:w="108" w:type="dxa"/>
            <w:bottom w:w="0" w:type="dxa"/>
            <w:right w:w="108" w:type="dxa"/>
          </w:tblCellMar>
        </w:tblPrEx>
        <w:trPr>
          <w:trHeight w:val="234" w:hRule="atLeast"/>
          <w:jc w:val="center"/>
        </w:trPr>
        <w:tc>
          <w:tcPr>
            <w:tcW w:w="141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CSI feedback bits</w:t>
            </w:r>
          </w:p>
        </w:tc>
        <w:tc>
          <w:tcPr>
            <w:tcW w:w="141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Training dataset</w:t>
            </w:r>
          </w:p>
        </w:tc>
        <w:tc>
          <w:tcPr>
            <w:tcW w:w="284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Test dataset</w:t>
            </w:r>
          </w:p>
        </w:tc>
        <w:tc>
          <w:tcPr>
            <w:tcW w:w="284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eastAsia" w:eastAsia="等线"/>
                <w:color w:val="000000"/>
                <w:sz w:val="18"/>
                <w:szCs w:val="20"/>
                <w:lang w:val="en-US" w:eastAsia="zh-CN"/>
              </w:rPr>
              <w:t>/</w:t>
            </w:r>
          </w:p>
        </w:tc>
      </w:tr>
      <w:tr>
        <w:tblPrEx>
          <w:tblCellMar>
            <w:top w:w="0" w:type="dxa"/>
            <w:left w:w="108" w:type="dxa"/>
            <w:bottom w:w="0" w:type="dxa"/>
            <w:right w:w="108" w:type="dxa"/>
          </w:tblCellMar>
        </w:tblPrEx>
        <w:trPr>
          <w:trHeight w:val="304" w:hRule="atLeast"/>
          <w:jc w:val="center"/>
        </w:trPr>
        <w:tc>
          <w:tcPr>
            <w:tcW w:w="1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24" w:beforeLines="10" w:beforeAutospacing="0" w:after="24" w:afterLines="10" w:afterAutospacing="0" w:line="288" w:lineRule="auto"/>
              <w:ind w:left="0" w:right="0"/>
              <w:rPr>
                <w:rFonts w:hint="default" w:eastAsia="等线"/>
                <w:color w:val="000000"/>
                <w:sz w:val="18"/>
                <w:szCs w:val="20"/>
                <w:lang w:val="en-US"/>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p>
        </w:tc>
        <w:tc>
          <w:tcPr>
            <w:tcW w:w="2845"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UMa</w:t>
            </w:r>
          </w:p>
        </w:tc>
        <w:tc>
          <w:tcPr>
            <w:tcW w:w="2845"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UMa</w:t>
            </w:r>
          </w:p>
        </w:tc>
      </w:tr>
      <w:tr>
        <w:tblPrEx>
          <w:tblCellMar>
            <w:top w:w="0" w:type="dxa"/>
            <w:left w:w="108" w:type="dxa"/>
            <w:bottom w:w="0" w:type="dxa"/>
            <w:right w:w="108" w:type="dxa"/>
          </w:tblCellMar>
        </w:tblPrEx>
        <w:trPr>
          <w:trHeight w:val="225" w:hRule="atLeast"/>
          <w:jc w:val="center"/>
        </w:trPr>
        <w:tc>
          <w:tcPr>
            <w:tcW w:w="1415"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64</w:t>
            </w:r>
            <w:r>
              <w:rPr>
                <w:rFonts w:hint="default" w:eastAsia="等线"/>
                <w:color w:val="000000"/>
                <w:sz w:val="18"/>
                <w:szCs w:val="20"/>
                <w:lang w:val="en-US"/>
              </w:rPr>
              <w:t xml:space="preserve"> bits</w:t>
            </w:r>
            <w:r>
              <w:rPr>
                <w:rFonts w:hint="eastAsia" w:eastAsia="等线"/>
                <w:color w:val="000000"/>
                <w:sz w:val="18"/>
                <w:szCs w:val="20"/>
                <w:lang w:val="en-US" w:eastAsia="zh-CN"/>
              </w:rPr>
              <w:t>+64bits</w:t>
            </w:r>
          </w:p>
        </w:tc>
        <w:tc>
          <w:tcPr>
            <w:tcW w:w="1418" w:type="dxa"/>
            <w:vMerge w:val="restart"/>
            <w:tcBorders>
              <w:top w:val="single" w:color="auto" w:sz="4" w:space="0"/>
              <w:left w:val="nil"/>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default" w:eastAsia="等线"/>
                <w:color w:val="000000"/>
                <w:sz w:val="18"/>
                <w:szCs w:val="20"/>
                <w:lang w:val="en-US"/>
              </w:rPr>
              <w:t>UMa</w:t>
            </w:r>
          </w:p>
        </w:tc>
        <w:tc>
          <w:tcPr>
            <w:tcW w:w="142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Rank 1</w:t>
            </w:r>
          </w:p>
        </w:tc>
        <w:tc>
          <w:tcPr>
            <w:tcW w:w="142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0.7228</w:t>
            </w:r>
          </w:p>
        </w:tc>
        <w:tc>
          <w:tcPr>
            <w:tcW w:w="142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ascii="Times New Roman" w:hAnsi="Times New Roman" w:eastAsia="等线" w:cs="Times New Roman"/>
                <w:color w:val="000000"/>
                <w:kern w:val="2"/>
                <w:sz w:val="18"/>
                <w:szCs w:val="24"/>
                <w:lang w:val="en-US" w:eastAsia="zh-CN" w:bidi="ar-SA"/>
              </w:rPr>
            </w:pPr>
            <w:r>
              <w:rPr>
                <w:rFonts w:hint="eastAsia" w:eastAsia="等线"/>
                <w:color w:val="000000"/>
                <w:sz w:val="18"/>
                <w:szCs w:val="20"/>
                <w:lang w:val="en-US" w:eastAsia="zh-CN"/>
              </w:rPr>
              <w:t>Rank 1</w:t>
            </w:r>
          </w:p>
        </w:tc>
        <w:tc>
          <w:tcPr>
            <w:tcW w:w="142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ascii="Times New Roman" w:hAnsi="Times New Roman" w:eastAsia="等线" w:cs="Times New Roman"/>
                <w:color w:val="000000"/>
                <w:kern w:val="2"/>
                <w:sz w:val="18"/>
                <w:szCs w:val="24"/>
                <w:lang w:val="en-US" w:eastAsia="zh-CN" w:bidi="ar-SA"/>
              </w:rPr>
            </w:pPr>
            <w:r>
              <w:rPr>
                <w:rFonts w:hint="eastAsia" w:eastAsia="等线"/>
                <w:color w:val="000000"/>
                <w:sz w:val="18"/>
                <w:szCs w:val="20"/>
                <w:lang w:val="en-US" w:eastAsia="zh-CN"/>
              </w:rPr>
              <w:t>0.6870</w:t>
            </w:r>
          </w:p>
        </w:tc>
      </w:tr>
      <w:tr>
        <w:tblPrEx>
          <w:tblCellMar>
            <w:top w:w="0" w:type="dxa"/>
            <w:left w:w="108" w:type="dxa"/>
            <w:bottom w:w="0" w:type="dxa"/>
            <w:right w:w="108" w:type="dxa"/>
          </w:tblCellMar>
        </w:tblPrEx>
        <w:trPr>
          <w:trHeight w:val="225" w:hRule="atLeast"/>
          <w:jc w:val="center"/>
        </w:trPr>
        <w:tc>
          <w:tcPr>
            <w:tcW w:w="1415"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szCs w:val="20"/>
              </w:rPr>
            </w:pPr>
          </w:p>
        </w:tc>
        <w:tc>
          <w:tcPr>
            <w:tcW w:w="1418" w:type="dxa"/>
            <w:vMerge w:val="continue"/>
            <w:tcBorders>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szCs w:val="20"/>
              </w:rPr>
            </w:pPr>
          </w:p>
        </w:tc>
        <w:tc>
          <w:tcPr>
            <w:tcW w:w="142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szCs w:val="20"/>
                <w:lang w:val="en-US"/>
              </w:rPr>
            </w:pPr>
            <w:r>
              <w:rPr>
                <w:rFonts w:hint="eastAsia" w:eastAsia="等线"/>
                <w:color w:val="000000"/>
                <w:sz w:val="18"/>
                <w:szCs w:val="20"/>
                <w:lang w:val="en-US" w:eastAsia="zh-CN"/>
              </w:rPr>
              <w:t>Rank 2</w:t>
            </w:r>
          </w:p>
        </w:tc>
        <w:tc>
          <w:tcPr>
            <w:tcW w:w="142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宋体"/>
                <w:szCs w:val="20"/>
                <w:lang w:val="en-US" w:eastAsia="zh-CN"/>
              </w:rPr>
            </w:pPr>
            <w:r>
              <w:rPr>
                <w:rFonts w:hint="eastAsia" w:eastAsia="等线"/>
                <w:color w:val="000000"/>
                <w:sz w:val="18"/>
                <w:szCs w:val="20"/>
                <w:lang w:val="en-US" w:eastAsia="zh-CN"/>
              </w:rPr>
              <w:t>0.5865</w:t>
            </w:r>
          </w:p>
        </w:tc>
        <w:tc>
          <w:tcPr>
            <w:tcW w:w="142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ascii="Times New Roman" w:hAnsi="Times New Roman" w:eastAsia="等线" w:cs="Times New Roman"/>
                <w:color w:val="000000"/>
                <w:kern w:val="2"/>
                <w:sz w:val="18"/>
                <w:szCs w:val="24"/>
                <w:lang w:val="en-US" w:eastAsia="zh-CN" w:bidi="ar-SA"/>
              </w:rPr>
            </w:pPr>
            <w:r>
              <w:rPr>
                <w:rFonts w:hint="eastAsia" w:eastAsia="等线"/>
                <w:color w:val="000000"/>
                <w:sz w:val="18"/>
                <w:szCs w:val="20"/>
                <w:lang w:val="en-US" w:eastAsia="zh-CN"/>
              </w:rPr>
              <w:t>Rank 2</w:t>
            </w:r>
          </w:p>
        </w:tc>
        <w:tc>
          <w:tcPr>
            <w:tcW w:w="142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ascii="Times New Roman" w:hAnsi="Times New Roman" w:eastAsia="等线" w:cs="Times New Roman"/>
                <w:color w:val="000000"/>
                <w:kern w:val="2"/>
                <w:sz w:val="18"/>
                <w:szCs w:val="24"/>
                <w:lang w:val="en-US" w:eastAsia="zh-CN" w:bidi="ar-SA"/>
              </w:rPr>
            </w:pPr>
            <w:r>
              <w:rPr>
                <w:rFonts w:hint="eastAsia" w:eastAsia="等线"/>
                <w:color w:val="000000"/>
                <w:sz w:val="18"/>
                <w:szCs w:val="20"/>
                <w:lang w:val="en-US" w:eastAsia="zh-CN"/>
              </w:rPr>
              <w:t>0.5538</w:t>
            </w:r>
          </w:p>
        </w:tc>
      </w:tr>
      <w:tr>
        <w:tblPrEx>
          <w:tblCellMar>
            <w:top w:w="0" w:type="dxa"/>
            <w:left w:w="108" w:type="dxa"/>
            <w:bottom w:w="0" w:type="dxa"/>
            <w:right w:w="108" w:type="dxa"/>
          </w:tblCellMar>
        </w:tblPrEx>
        <w:trPr>
          <w:trHeight w:val="460" w:hRule="atLeast"/>
          <w:jc w:val="center"/>
        </w:trPr>
        <w:tc>
          <w:tcPr>
            <w:tcW w:w="28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eastAsia" w:eastAsia="等线"/>
                <w:color w:val="000000"/>
                <w:sz w:val="18"/>
                <w:szCs w:val="20"/>
                <w:lang w:val="en-US" w:eastAsia="zh-CN"/>
              </w:rPr>
              <w:t>FLOPS and size</w:t>
            </w:r>
          </w:p>
        </w:tc>
        <w:tc>
          <w:tcPr>
            <w:tcW w:w="28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both"/>
              <w:rPr>
                <w:rFonts w:hint="eastAsia" w:eastAsia="等线"/>
                <w:color w:val="000000"/>
                <w:sz w:val="18"/>
                <w:szCs w:val="20"/>
                <w:lang w:val="en-US" w:eastAsia="zh-CN"/>
              </w:rPr>
            </w:pPr>
            <w:r>
              <w:rPr>
                <w:rFonts w:hint="default" w:eastAsia="等线"/>
                <w:color w:val="000000"/>
                <w:sz w:val="18"/>
                <w:szCs w:val="20"/>
                <w:lang w:val="en-US"/>
              </w:rPr>
              <w:t>FLOPS</w:t>
            </w:r>
            <w:r>
              <w:rPr>
                <w:rFonts w:hint="eastAsia" w:eastAsia="等线"/>
                <w:color w:val="000000"/>
                <w:sz w:val="18"/>
                <w:szCs w:val="20"/>
                <w:lang w:val="en-US" w:eastAsia="zh-CN"/>
              </w:rPr>
              <w:t>:</w:t>
            </w:r>
          </w:p>
          <w:p>
            <w:pPr>
              <w:keepNext w:val="0"/>
              <w:keepLines w:val="0"/>
              <w:widowControl/>
              <w:suppressLineNumbers w:val="0"/>
              <w:spacing w:before="24" w:beforeLines="10" w:beforeAutospacing="0" w:after="24" w:afterLines="10" w:afterAutospacing="0" w:line="288" w:lineRule="auto"/>
              <w:ind w:left="0" w:right="0"/>
              <w:jc w:val="both"/>
              <w:rPr>
                <w:rFonts w:hint="eastAsia" w:eastAsia="等线"/>
                <w:color w:val="000000"/>
                <w:sz w:val="18"/>
                <w:szCs w:val="20"/>
                <w:lang w:val="en-US" w:eastAsia="zh-CN"/>
              </w:rPr>
            </w:pPr>
            <w:r>
              <w:rPr>
                <w:rFonts w:hint="eastAsia" w:eastAsia="等线"/>
                <w:color w:val="000000"/>
                <w:sz w:val="18"/>
                <w:szCs w:val="20"/>
                <w:lang w:val="en-US" w:eastAsia="zh-CN"/>
              </w:rPr>
              <w:t>Encoder: 46.966M</w:t>
            </w:r>
          </w:p>
          <w:p>
            <w:pPr>
              <w:keepNext w:val="0"/>
              <w:keepLines w:val="0"/>
              <w:widowControl/>
              <w:suppressLineNumbers w:val="0"/>
              <w:spacing w:before="24" w:beforeLines="10" w:beforeAutospacing="0" w:after="24" w:afterLines="10" w:afterAutospacing="0" w:line="288" w:lineRule="auto"/>
              <w:ind w:left="0" w:right="0"/>
              <w:jc w:val="both"/>
              <w:rPr>
                <w:rFonts w:hint="default" w:eastAsia="等线"/>
                <w:color w:val="000000"/>
                <w:sz w:val="18"/>
                <w:szCs w:val="20"/>
                <w:lang w:val="en-US" w:eastAsia="zh-CN"/>
              </w:rPr>
            </w:pPr>
            <w:r>
              <w:rPr>
                <w:rFonts w:hint="eastAsia" w:eastAsia="等线"/>
                <w:color w:val="000000"/>
                <w:sz w:val="18"/>
                <w:szCs w:val="20"/>
                <w:lang w:val="en-US" w:eastAsia="zh-CN"/>
              </w:rPr>
              <w:t>Decoder: 739.965M</w:t>
            </w:r>
          </w:p>
          <w:p>
            <w:pPr>
              <w:keepNext w:val="0"/>
              <w:keepLines w:val="0"/>
              <w:widowControl/>
              <w:suppressLineNumbers w:val="0"/>
              <w:spacing w:before="24" w:beforeLines="10" w:beforeAutospacing="0" w:after="24" w:afterLines="10" w:afterAutospacing="0" w:line="288" w:lineRule="auto"/>
              <w:ind w:left="0" w:right="0"/>
              <w:jc w:val="both"/>
              <w:rPr>
                <w:rFonts w:hint="default" w:eastAsia="等线"/>
                <w:color w:val="000000"/>
                <w:sz w:val="18"/>
                <w:szCs w:val="20"/>
                <w:lang w:val="en-US"/>
              </w:rPr>
            </w:pPr>
            <w:r>
              <w:rPr>
                <w:rFonts w:hint="eastAsia" w:eastAsia="等线"/>
                <w:color w:val="000000"/>
                <w:sz w:val="18"/>
                <w:szCs w:val="20"/>
                <w:lang w:val="en-US" w:eastAsia="zh-CN"/>
              </w:rPr>
              <w:t>Parameters Num: 1.928M</w:t>
            </w:r>
          </w:p>
        </w:tc>
        <w:tc>
          <w:tcPr>
            <w:tcW w:w="28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w:t>
            </w:r>
          </w:p>
        </w:tc>
      </w:tr>
    </w:tbl>
    <w:p>
      <w:pPr>
        <w:jc w:val="both"/>
        <w:rPr>
          <w:rFonts w:hint="eastAsia" w:cs="Times New Roman"/>
          <w:b w:val="0"/>
          <w:bCs/>
          <w:szCs w:val="20"/>
          <w:u w:val="none"/>
          <w:lang w:val="en-US" w:eastAsia="zh-CN"/>
        </w:rPr>
      </w:pPr>
      <w:r>
        <w:rPr>
          <w:rFonts w:hint="eastAsia" w:cs="Times New Roman"/>
          <w:b w:val="0"/>
          <w:bCs/>
          <w:szCs w:val="20"/>
          <w:u w:val="none"/>
          <w:lang w:val="en-US" w:eastAsia="zh-CN"/>
        </w:rPr>
        <w:t>We provide the simulation results for rank 1 and rank 2. Also we give the legacy eType II codebook feedback results. Simulation results demonstrate that the AI CSI compression indeed achieves performance improvement compared to legacy eType II codebook. On the other hand, for the rank 2 scenario, the first layer outperforms the second layer results.</w:t>
      </w:r>
    </w:p>
    <w:p>
      <w:pPr>
        <w:jc w:val="both"/>
        <w:rPr>
          <w:rFonts w:hint="eastAsia" w:cs="Times New Roman"/>
          <w:b w:val="0"/>
          <w:bCs/>
          <w:szCs w:val="20"/>
          <w:u w:val="none"/>
          <w:lang w:val="en-US" w:eastAsia="zh-CN"/>
        </w:rPr>
      </w:pPr>
      <w:r>
        <w:rPr>
          <w:rFonts w:hint="eastAsia" w:cs="Times New Roman"/>
          <w:b w:val="0"/>
          <w:bCs/>
          <w:szCs w:val="20"/>
          <w:u w:val="none"/>
          <w:lang w:val="en-US" w:eastAsia="zh-CN"/>
        </w:rPr>
        <w:t>Next, we intend to explore the aspects that follow the alignment of results. As expected in RAN4, we aspire to the alignment of results among different companies. The first obvious issue is that the required span among different companies. It is evident that RAN4 never study the span for SGCS or other test metrics besides SNR value in RAN4 testing conformance. If RAN4 intends to achieve conclusions that can be aligned among different companies, it should first establish that the extent of the span that can be agreed among different companies. Based on our observations, when considering low overhead feedback, the variation in the number of bits has a significant impact on the outcome; conversely, with high overhead feedback, changes in bit count barely influence the outcome.</w:t>
      </w:r>
    </w:p>
    <w:p>
      <w:pPr>
        <w:jc w:val="both"/>
        <w:rPr>
          <w:rFonts w:hint="eastAsia" w:cs="Times New Roman"/>
          <w:b w:val="0"/>
          <w:bCs/>
          <w:szCs w:val="20"/>
          <w:u w:val="none"/>
          <w:lang w:val="en-US" w:eastAsia="zh-CN"/>
        </w:rPr>
      </w:pPr>
      <w:r>
        <w:rPr>
          <w:rFonts w:hint="eastAsia" w:cs="Times New Roman"/>
          <w:b w:val="0"/>
          <w:bCs/>
          <w:szCs w:val="20"/>
          <w:u w:val="none"/>
          <w:lang w:val="en-US" w:eastAsia="zh-CN"/>
        </w:rPr>
        <w:t xml:space="preserve">Moreover, regarding the demodulation requirements for AI CSI compression, even RAN4 agreed on using CNN model for alignment evaluation. However, this is not the final requirements. From RAN4 demodulation requirements perspective, conformance testing is based on minimum requirements, additionally requirements are based on implementation. We noticed that different companies provided different models in last meeting, even the same models still have different parameters configuration, which gives rise to different outcomes in theoretically. Unfortunately, RAN4 has not evaluated the extent of differences in results from different models or parameter configurations. From our understanding, RAN4 requires more evaluations to validate the impacts of such differences on the outcomes. </w:t>
      </w:r>
    </w:p>
    <w:p>
      <w:pPr>
        <w:jc w:val="both"/>
        <w:rPr>
          <w:rFonts w:hint="default" w:cs="Times New Roman"/>
          <w:b w:val="0"/>
          <w:bCs/>
          <w:szCs w:val="20"/>
          <w:u w:val="none"/>
          <w:lang w:val="en-US" w:eastAsia="zh-CN"/>
        </w:rPr>
      </w:pPr>
      <w:r>
        <w:rPr>
          <w:rFonts w:hint="eastAsia" w:cs="Times New Roman"/>
          <w:b w:val="0"/>
          <w:bCs/>
          <w:szCs w:val="20"/>
          <w:u w:val="none"/>
          <w:lang w:val="en-US" w:eastAsia="zh-CN"/>
        </w:rPr>
        <w:t xml:space="preserve">On the other side, model structures rely on companies implementation. It is well-known that AI is often perceived as a block box, making it challenging to analyze theoretically through formulas or principles. In the past, for other demodulation requirements, RAN4 has established strict guidelines to govern process from Release 15. For AI- driven work item, even more stringent regulations are imperative. </w:t>
      </w:r>
    </w:p>
    <w:p>
      <w:pPr>
        <w:jc w:val="both"/>
        <w:rPr>
          <w:rFonts w:hint="eastAsia"/>
          <w:b/>
          <w:bCs/>
          <w:i/>
          <w:iCs/>
          <w:szCs w:val="21"/>
          <w:lang w:val="en-US" w:eastAsia="zh-CN"/>
        </w:rPr>
      </w:pPr>
      <w:r>
        <w:rPr>
          <w:rFonts w:hint="eastAsia"/>
          <w:b/>
          <w:bCs/>
          <w:i/>
          <w:iCs/>
          <w:szCs w:val="21"/>
          <w:lang w:val="en-US" w:eastAsia="zh-CN"/>
        </w:rPr>
        <w:t>Observation 1. AI CSI compression indeed achieves performance improvement compared to legacy eType II codebook from simulation results.</w:t>
      </w:r>
    </w:p>
    <w:p>
      <w:pPr>
        <w:jc w:val="both"/>
        <w:rPr>
          <w:rFonts w:hint="default"/>
          <w:b/>
          <w:bCs/>
          <w:i/>
          <w:iCs/>
          <w:szCs w:val="21"/>
          <w:lang w:val="en-US" w:eastAsia="zh-CN"/>
        </w:rPr>
      </w:pPr>
      <w:r>
        <w:rPr>
          <w:rFonts w:hint="eastAsia"/>
          <w:b/>
          <w:bCs/>
          <w:i/>
          <w:iCs/>
          <w:szCs w:val="21"/>
          <w:lang w:val="en-US" w:eastAsia="zh-CN"/>
        </w:rPr>
        <w:t>Observation 2. RAN4 built a strict guidelines to govern process for Release 15 for demodulation requirements.</w:t>
      </w:r>
    </w:p>
    <w:p>
      <w:pPr>
        <w:jc w:val="both"/>
        <w:rPr>
          <w:rFonts w:hint="default"/>
          <w:b/>
          <w:bCs/>
          <w:i/>
          <w:iCs/>
          <w:szCs w:val="21"/>
          <w:lang w:val="en-US" w:eastAsia="zh-CN"/>
        </w:rPr>
      </w:pPr>
      <w:r>
        <w:rPr>
          <w:rFonts w:hint="eastAsia"/>
          <w:b/>
          <w:bCs/>
          <w:i/>
          <w:iCs/>
          <w:szCs w:val="21"/>
          <w:lang w:val="en-US" w:eastAsia="zh-CN"/>
        </w:rPr>
        <w:t>Observation 3. If RAN4 would like to study feasibility for CSI compression, new regulations should be considered for AI-based KPI.</w:t>
      </w:r>
    </w:p>
    <w:p>
      <w:pPr>
        <w:jc w:val="both"/>
        <w:rPr>
          <w:rFonts w:hint="default"/>
          <w:b/>
          <w:bCs/>
          <w:i/>
          <w:iCs/>
          <w:szCs w:val="21"/>
          <w:lang w:val="en-US" w:eastAsia="zh-CN"/>
        </w:rPr>
      </w:pPr>
      <w:r>
        <w:rPr>
          <w:rFonts w:hint="eastAsia"/>
          <w:b/>
          <w:bCs/>
          <w:i/>
          <w:iCs/>
          <w:szCs w:val="21"/>
          <w:lang w:val="en-US" w:eastAsia="zh-CN"/>
        </w:rPr>
        <w:t xml:space="preserve">Observation 4. RAN4 requires more evaluations to validate the impacts of such differences on the outcomes. </w:t>
      </w:r>
    </w:p>
    <w:p>
      <w:pPr>
        <w:jc w:val="both"/>
        <w:rPr>
          <w:rFonts w:hint="default"/>
          <w:b/>
          <w:bCs/>
          <w:i/>
          <w:iCs/>
          <w:szCs w:val="21"/>
          <w:lang w:val="en-US" w:eastAsia="zh-CN"/>
        </w:rPr>
      </w:pPr>
    </w:p>
    <w:p>
      <w:pPr>
        <w:rPr>
          <w:rFonts w:hint="default" w:eastAsiaTheme="minorEastAsia"/>
          <w:b/>
          <w:sz w:val="21"/>
          <w:szCs w:val="21"/>
          <w:u w:val="single"/>
          <w:lang w:val="en-US" w:eastAsia="zh-CN"/>
        </w:rPr>
      </w:pPr>
      <w:r>
        <w:rPr>
          <w:rFonts w:hint="eastAsia" w:eastAsiaTheme="minorEastAsia"/>
          <w:b/>
          <w:sz w:val="21"/>
          <w:szCs w:val="21"/>
          <w:u w:val="single"/>
          <w:lang w:val="en-US" w:eastAsia="zh-CN"/>
        </w:rPr>
        <w:t>Option 4 for 2- side model</w:t>
      </w:r>
    </w:p>
    <w:p>
      <w:pPr>
        <w:rPr>
          <w:rFonts w:hint="default" w:ascii="Times New Roman" w:hAnsi="Times New Roman" w:cs="Times New Roman"/>
          <w:b w:val="0"/>
          <w:bCs/>
          <w:szCs w:val="20"/>
          <w:u w:val="none"/>
          <w:lang w:val="en-US" w:eastAsia="zh-CN"/>
        </w:rPr>
      </w:pPr>
      <w:r>
        <w:rPr>
          <w:rFonts w:hint="default" w:ascii="Times New Roman" w:hAnsi="Times New Roman" w:cs="Times New Roman"/>
          <w:b w:val="0"/>
          <w:bCs/>
          <w:szCs w:val="20"/>
          <w:u w:val="none"/>
          <w:lang w:val="en-US" w:eastAsia="zh-CN"/>
        </w:rPr>
        <w:t>At the previous meeting, RAN4 deliberated on potential candidate options for option 4, namely the means of achieving interoperability between DUT vendors and TE vendors.</w:t>
      </w:r>
      <w:r>
        <w:rPr>
          <w:rFonts w:hint="eastAsia" w:ascii="Times New Roman" w:hAnsi="Times New Roman" w:cs="Times New Roman"/>
          <w:b w:val="0"/>
          <w:bCs/>
          <w:szCs w:val="20"/>
          <w:u w:val="none"/>
          <w:lang w:val="en-US" w:eastAsia="zh-CN"/>
        </w:rPr>
        <w:t xml:space="preserve"> In TS 38.843, we defined partial knowledge in RAN4 specification for decoder to achieve interoperability. With regard to this partial knowledge of the decoder, it can bring more flexible approach</w:t>
      </w:r>
      <w:r>
        <w:rPr>
          <w:rFonts w:hint="eastAsia" w:cs="Times New Roman"/>
          <w:b w:val="0"/>
          <w:bCs/>
          <w:szCs w:val="20"/>
          <w:u w:val="none"/>
          <w:lang w:val="en-US" w:eastAsia="zh-CN"/>
        </w:rPr>
        <w:t>es</w:t>
      </w:r>
      <w:r>
        <w:rPr>
          <w:rFonts w:hint="eastAsia" w:ascii="Times New Roman" w:hAnsi="Times New Roman" w:cs="Times New Roman"/>
          <w:b w:val="0"/>
          <w:bCs/>
          <w:szCs w:val="20"/>
          <w:u w:val="none"/>
          <w:lang w:val="en-US" w:eastAsia="zh-CN"/>
        </w:rPr>
        <w:t xml:space="preserve"> for TE vendors. </w:t>
      </w:r>
      <w:r>
        <w:rPr>
          <w:rFonts w:hint="eastAsia" w:cs="Times New Roman"/>
          <w:b w:val="0"/>
          <w:bCs/>
          <w:szCs w:val="20"/>
          <w:u w:val="none"/>
          <w:lang w:val="en-US" w:eastAsia="zh-CN"/>
        </w:rPr>
        <w:t xml:space="preserve">To ensure interoperability, we need to define more knowledge between DUT and TE side. All candidate options as shown in following table.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autoSpaceDE/>
              <w:autoSpaceDN/>
              <w:adjustRightInd/>
              <w:spacing w:before="0" w:beforeAutospacing="0" w:after="120" w:afterAutospacing="0"/>
              <w:ind w:left="420" w:leftChars="0" w:right="0" w:hanging="420" w:firstLineChars="0"/>
              <w:contextualSpacing w:val="0"/>
              <w:textAlignment w:val="auto"/>
              <w:rPr>
                <w:rFonts w:hint="default" w:eastAsia="宋体"/>
                <w:color w:val="auto"/>
                <w:sz w:val="21"/>
                <w:szCs w:val="21"/>
                <w:lang w:eastAsia="zh-CN"/>
              </w:rPr>
            </w:pPr>
            <w:r>
              <w:rPr>
                <w:rFonts w:hint="eastAsia" w:eastAsiaTheme="minorEastAsia"/>
                <w:color w:val="auto"/>
                <w:sz w:val="21"/>
                <w:szCs w:val="21"/>
                <w:lang w:eastAsia="ja-JP"/>
              </w:rPr>
              <w:t xml:space="preserve">Option 1: </w:t>
            </w:r>
            <w:r>
              <w:rPr>
                <w:rFonts w:hint="eastAsia" w:eastAsiaTheme="minorEastAsia"/>
                <w:color w:val="auto"/>
                <w:sz w:val="21"/>
                <w:szCs w:val="21"/>
                <w:lang w:val="en-US" w:eastAsia="zh-CN"/>
              </w:rPr>
              <w:t xml:space="preserve">training </w:t>
            </w:r>
            <w:r>
              <w:rPr>
                <w:rFonts w:hint="eastAsia" w:eastAsiaTheme="minorEastAsia"/>
                <w:color w:val="auto"/>
                <w:sz w:val="21"/>
                <w:szCs w:val="21"/>
                <w:lang w:eastAsia="ja-JP"/>
              </w:rPr>
              <w:t>data</w:t>
            </w:r>
            <w:r>
              <w:rPr>
                <w:rFonts w:hint="eastAsia" w:eastAsiaTheme="minorEastAsia"/>
                <w:color w:val="auto"/>
                <w:sz w:val="21"/>
                <w:szCs w:val="21"/>
                <w:lang w:val="en-US" w:eastAsia="zh-CN"/>
              </w:rPr>
              <w:t>/aggregated data</w:t>
            </w:r>
          </w:p>
          <w:p>
            <w:pPr>
              <w:pStyle w:val="33"/>
              <w:keepNext w:val="0"/>
              <w:keepLines w:val="0"/>
              <w:widowControl/>
              <w:numPr>
                <w:ilvl w:val="0"/>
                <w:numId w:val="8"/>
              </w:numPr>
              <w:suppressLineNumbers w:val="0"/>
              <w:overflowPunct/>
              <w:autoSpaceDE/>
              <w:autoSpaceDN/>
              <w:adjustRightInd/>
              <w:spacing w:before="0" w:beforeAutospacing="0" w:after="120" w:afterAutospacing="0"/>
              <w:ind w:left="420" w:leftChars="0" w:right="0" w:hanging="420" w:firstLineChars="0"/>
              <w:contextualSpacing w:val="0"/>
              <w:textAlignment w:val="auto"/>
              <w:rPr>
                <w:rFonts w:hint="default" w:eastAsiaTheme="minorEastAsia"/>
                <w:color w:val="auto"/>
                <w:sz w:val="21"/>
                <w:szCs w:val="21"/>
                <w:lang w:val="en-US" w:eastAsia="zh-CN"/>
              </w:rPr>
            </w:pPr>
            <w:r>
              <w:rPr>
                <w:rFonts w:hint="eastAsia" w:eastAsiaTheme="minorEastAsia"/>
                <w:color w:val="auto"/>
                <w:sz w:val="21"/>
                <w:szCs w:val="21"/>
                <w:lang w:eastAsia="ja-JP"/>
              </w:rPr>
              <w:t xml:space="preserve">Option 2: </w:t>
            </w:r>
            <w:r>
              <w:rPr>
                <w:rFonts w:hint="eastAsia" w:eastAsiaTheme="minorEastAsia"/>
                <w:color w:val="auto"/>
                <w:sz w:val="21"/>
                <w:szCs w:val="21"/>
                <w:lang w:val="en-US" w:eastAsia="zh-CN"/>
              </w:rPr>
              <w:t>reference encoder</w:t>
            </w:r>
          </w:p>
          <w:p>
            <w:pPr>
              <w:pStyle w:val="33"/>
              <w:keepNext w:val="0"/>
              <w:keepLines w:val="0"/>
              <w:widowControl/>
              <w:numPr>
                <w:ilvl w:val="0"/>
                <w:numId w:val="8"/>
              </w:numPr>
              <w:suppressLineNumbers w:val="0"/>
              <w:overflowPunct/>
              <w:autoSpaceDE/>
              <w:autoSpaceDN/>
              <w:adjustRightInd/>
              <w:spacing w:before="0" w:beforeAutospacing="0" w:after="120" w:afterAutospacing="0"/>
              <w:ind w:left="420" w:leftChars="0" w:right="0" w:hanging="420" w:firstLineChars="0"/>
              <w:contextualSpacing w:val="0"/>
              <w:textAlignment w:val="auto"/>
              <w:rPr>
                <w:rFonts w:hint="default" w:cs="Times New Roman"/>
                <w:kern w:val="2"/>
                <w:sz w:val="21"/>
                <w:vertAlign w:val="baseline"/>
                <w:lang w:val="en-US" w:eastAsia="zh-CN" w:bidi="ar-SA"/>
              </w:rPr>
            </w:pPr>
            <w:r>
              <w:rPr>
                <w:rFonts w:hint="eastAsia" w:cs="Times New Roman"/>
                <w:kern w:val="2"/>
                <w:sz w:val="21"/>
                <w:vertAlign w:val="baseline"/>
                <w:lang w:val="en-US" w:eastAsia="zh-CN" w:bidi="ar-SA"/>
              </w:rPr>
              <w:t>Option 3: reference encoder+decoder</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For above options, we want to give some analysis form our side. Firstly, if RAN4 standardizes a training data, which can be derived from reference encoder/decoder according generation procedure. And reference encoder/ decoder is also full defined in RAN4 specification. DUT vendor and TE vendor could use the training data to train AI/ML model, e.g. encoder and decoder models. A TE vendor could use training data and partial knowledge to train their own encoder and decoder. A DUT vendor also could use training data and partial knowledge to design their own encoder and decoder. DUT vendor and TE vendor can guarantee the better performance on their side.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As mentioned before, RAN4</w:t>
      </w:r>
      <w:r>
        <w:rPr>
          <w:rFonts w:hint="default" w:cs="Times New Roman"/>
          <w:kern w:val="2"/>
          <w:sz w:val="21"/>
          <w:lang w:val="en-US" w:eastAsia="zh-CN" w:bidi="ar-SA"/>
        </w:rPr>
        <w:t>’</w:t>
      </w:r>
      <w:r>
        <w:rPr>
          <w:rFonts w:hint="eastAsia" w:cs="Times New Roman"/>
          <w:kern w:val="2"/>
          <w:sz w:val="21"/>
          <w:lang w:val="en-US" w:eastAsia="zh-CN" w:bidi="ar-SA"/>
        </w:rPr>
        <w:t xml:space="preserve">s motivation is to achieve interoperability, which means RAN4 must guarantee that any encoder paired with any TE decoder should result in the same performance. In other words, TE decoder should be paired with any DUT decoder during the test.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However, the test decoder with partial knowledge, considering more implementations aspects during its design phase. Even all TE vendors use same model structure, it is a challenging to expect the same performance during test. Also it is difficult to ensure that DUT vendor and TE vendor have same model parameters during training their own decoder and test decoder. </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On the other hand, the construction of training data is intimately related to the implementation of the physical layer, such as channel estimation, and system simulation design. Even RAN4 has agreed some system level assumptions to generate training data. Ensuring consistency among the training data provided by various companies remains a challenge task unless RAN4 demonstrates that distinct training data can also lead to convergence in the final results. Actually, we expect to reach a conclusion on this issue in the next meeting, as RAN4 unanimously agreed to use CNN model for result calibration. If the outcomes from different companies cannot be aligned, this would imply training data discrepancies in partial knowledge are irreparable.</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998595" cy="2562225"/>
            <wp:effectExtent l="0" t="0" r="0" b="1333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2"/>
                    <a:stretch>
                      <a:fillRect/>
                    </a:stretch>
                  </pic:blipFill>
                  <pic:spPr>
                    <a:xfrm>
                      <a:off x="0" y="0"/>
                      <a:ext cx="3998595" cy="2562225"/>
                    </a:xfrm>
                    <a:prstGeom prst="rect">
                      <a:avLst/>
                    </a:prstGeom>
                    <a:noFill/>
                    <a:ln w="9525">
                      <a:noFill/>
                    </a:ln>
                  </pic:spPr>
                </pic:pic>
              </a:graphicData>
            </a:graphic>
          </wp:inline>
        </w:drawing>
      </w:r>
    </w:p>
    <w:p>
      <w:pPr>
        <w:widowControl w:val="0"/>
        <w:spacing w:beforeLines="100" w:afterLines="0" w:line="240" w:lineRule="auto"/>
        <w:jc w:val="center"/>
        <w:rPr>
          <w:rFonts w:hint="eastAsia"/>
          <w:lang w:val="en-US" w:eastAsia="zh-CN"/>
        </w:rPr>
      </w:pPr>
      <w:r>
        <w:rPr>
          <w:rFonts w:hint="eastAsia"/>
          <w:lang w:val="en-US" w:eastAsia="zh-CN"/>
        </w:rPr>
        <w:t>Figure 3. Training data based for option 4 test decoder</w:t>
      </w:r>
    </w:p>
    <w:p>
      <w:pPr>
        <w:widowControl w:val="0"/>
        <w:spacing w:beforeLines="100" w:afterLines="0" w:line="240" w:lineRule="auto"/>
        <w:jc w:val="both"/>
        <w:rPr>
          <w:rFonts w:hint="default"/>
          <w:lang w:val="en-US" w:eastAsia="zh-CN"/>
        </w:rPr>
      </w:pPr>
      <w:r>
        <w:rPr>
          <w:rFonts w:hint="eastAsia"/>
          <w:lang w:val="en-US" w:eastAsia="zh-CN"/>
        </w:rPr>
        <w:t xml:space="preserve">Base on above analysis, we acknowledge that the validity of the training data still requires validation in the partial knowledge for option 4. </w:t>
      </w:r>
    </w:p>
    <w:p>
      <w:pPr>
        <w:widowControl w:val="0"/>
        <w:spacing w:beforeLines="100" w:afterLines="0" w:line="240" w:lineRule="auto"/>
        <w:jc w:val="both"/>
        <w:rPr>
          <w:rFonts w:hint="default" w:cs="Times New Roman"/>
          <w:kern w:val="2"/>
          <w:sz w:val="21"/>
          <w:lang w:val="en-US" w:eastAsia="zh-CN" w:bidi="ar-SA"/>
        </w:rPr>
      </w:pPr>
      <w:r>
        <w:rPr>
          <w:rFonts w:hint="eastAsia"/>
          <w:lang w:val="en-US" w:eastAsia="zh-CN"/>
        </w:rPr>
        <w:t xml:space="preserve">And regarding option 4 with aggregated data, </w:t>
      </w:r>
      <w:r>
        <w:rPr>
          <w:rFonts w:hint="eastAsia" w:cs="Times New Roman"/>
          <w:kern w:val="2"/>
          <w:sz w:val="21"/>
          <w:lang w:val="en-US" w:eastAsia="zh-CN" w:bidi="ar-SA"/>
        </w:rPr>
        <w:t>which based on the contributions of all companies and capturing all aggregated datasets in the specification. Firstly, RAN4 can achieve some agreements for part of parameters, all companies can design encoder/ decoder pair to contribute the training data. DUT and TE vendors can use the aggregated datasets to train their own encoder/decoder model. Since partial knowledge is captured in RAN4 specification, TE vendor can use partial knowledge and aggregated datasets to train the test decoder, even if partial knowledge provide more flexibility to TE vendor, but the aggregated datasets include all DUT vendor</w:t>
      </w:r>
      <w:r>
        <w:rPr>
          <w:rFonts w:hint="default" w:cs="Times New Roman"/>
          <w:kern w:val="2"/>
          <w:sz w:val="21"/>
          <w:lang w:val="en-US" w:eastAsia="zh-CN" w:bidi="ar-SA"/>
        </w:rPr>
        <w:t>’</w:t>
      </w:r>
      <w:r>
        <w:rPr>
          <w:rFonts w:hint="eastAsia" w:cs="Times New Roman"/>
          <w:kern w:val="2"/>
          <w:sz w:val="21"/>
          <w:lang w:val="en-US" w:eastAsia="zh-CN" w:bidi="ar-SA"/>
        </w:rPr>
        <w:t xml:space="preserve">s training data, which depends on its own encoder model structure and parameters. Compared to training data, we believe that the aggregated datasets has more possibility to achieve interoperability and testability. </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072255" cy="2534285"/>
            <wp:effectExtent l="0" t="0" r="12065" b="10795"/>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3"/>
                    <a:stretch>
                      <a:fillRect/>
                    </a:stretch>
                  </pic:blipFill>
                  <pic:spPr>
                    <a:xfrm>
                      <a:off x="0" y="0"/>
                      <a:ext cx="4072255" cy="2534285"/>
                    </a:xfrm>
                    <a:prstGeom prst="rect">
                      <a:avLst/>
                    </a:prstGeom>
                    <a:noFill/>
                    <a:ln w="9525">
                      <a:noFill/>
                    </a:ln>
                  </pic:spPr>
                </pic:pic>
              </a:graphicData>
            </a:graphic>
          </wp:inline>
        </w:drawing>
      </w:r>
    </w:p>
    <w:p>
      <w:pPr>
        <w:keepNext w:val="0"/>
        <w:keepLines w:val="0"/>
        <w:widowControl/>
        <w:suppressLineNumbers w:val="0"/>
        <w:jc w:val="center"/>
      </w:pPr>
    </w:p>
    <w:p>
      <w:pPr>
        <w:widowControl w:val="0"/>
        <w:spacing w:beforeLines="100" w:afterLines="0" w:line="240" w:lineRule="auto"/>
        <w:jc w:val="center"/>
        <w:rPr>
          <w:rFonts w:hint="default"/>
          <w:lang w:val="en-US" w:eastAsia="zh-CN"/>
        </w:rPr>
      </w:pPr>
      <w:r>
        <w:rPr>
          <w:rFonts w:hint="eastAsia"/>
          <w:lang w:val="en-US" w:eastAsia="zh-CN"/>
        </w:rPr>
        <w:t>Figure 4. Aggregated datasets based for option 4 test decoder</w:t>
      </w:r>
    </w:p>
    <w:p>
      <w:pPr>
        <w:widowControl w:val="0"/>
        <w:spacing w:beforeLines="100" w:afterLines="0" w:line="240" w:lineRule="auto"/>
        <w:jc w:val="both"/>
        <w:rPr>
          <w:rFonts w:hint="eastAsia"/>
          <w:lang w:val="en-US" w:eastAsia="zh-CN"/>
        </w:rPr>
      </w:pPr>
      <w:r>
        <w:rPr>
          <w:rFonts w:hint="eastAsia"/>
          <w:lang w:val="en-US" w:eastAsia="zh-CN"/>
        </w:rPr>
        <w:t>Next, we want to share our view from reference perspective. In last meeting, reference encoder and decoder were agreed to use in RAN4 discussion as least for simulation alignment / requirements derivation for option 3. Reference decoder is the test decoder for option 3. From test perspective, we think reference encoder/decoder is still needed for requirements derivation, which can be assumed as baseline model structure. As we all known, option 4 is allowed to provide more flexibility to TE vendor or DT vendor. If RAN4 defined the reference encoder/decoder, the minimum performance requirements can be guaranteed. Even DUT or TE vendor can perform updates based on partial knowledge, it also ensure that the performance meets the minimum requirements. Since the reference encoder/ decoder is necessary to ensure that the test results meet or surpass the minimum requirements.</w:t>
      </w:r>
    </w:p>
    <w:p>
      <w:pPr>
        <w:widowControl w:val="0"/>
        <w:spacing w:beforeLines="100" w:afterLines="0" w:line="240" w:lineRule="auto"/>
        <w:jc w:val="both"/>
        <w:rPr>
          <w:rFonts w:hint="default"/>
          <w:lang w:val="en-US" w:eastAsia="zh-CN"/>
        </w:rPr>
      </w:pPr>
      <w:r>
        <w:rPr>
          <w:rFonts w:hint="eastAsia"/>
          <w:lang w:val="en-US" w:eastAsia="zh-CN"/>
        </w:rPr>
        <w:t xml:space="preserve">On the other hand, reference model can guarantee the feasibility of implementation from partial knowledge. At least, RAN4 is not expect that the performance degradation due to flexibility. The worst case is that the reference decoder is the test decoder itself. </w:t>
      </w:r>
    </w:p>
    <w:p>
      <w:pPr>
        <w:widowControl w:val="0"/>
        <w:spacing w:beforeLines="100" w:afterLines="0" w:line="240" w:lineRule="auto"/>
        <w:jc w:val="both"/>
        <w:rPr>
          <w:rFonts w:hint="default"/>
          <w:lang w:val="en-US" w:eastAsia="zh-CN"/>
        </w:rPr>
      </w:pPr>
      <w:r>
        <w:rPr>
          <w:rFonts w:hint="eastAsia"/>
          <w:lang w:val="en-US" w:eastAsia="zh-CN"/>
        </w:rPr>
        <w:t xml:space="preserve">If RAN4 only standardizes reference encoder, it is a challenging to guarantee the interoperability and testability during test. DUT vendor and TE vendor still lacks sufficient information to guarantee the decoder design consistency. Hence, latent space may be needed to be considered. Regarding latent space, we prefer to consider the latent before quantization. From our understanding, the latent before quantization represents the effective feature information extracted by AI compression, which also determines the efficacy of feature representation for input reconstruction. The varying sizes of effective features also determine the performance of reconstruction. Once the size of the effective features values is determined, the final performance of reconstruction is also determined. </w:t>
      </w:r>
      <w:r>
        <w:rPr>
          <w:rFonts w:hint="eastAsia"/>
          <w:highlight w:val="none"/>
          <w:lang w:val="en-US" w:eastAsia="zh-CN"/>
        </w:rPr>
        <w:t xml:space="preserve">Regardless of the quantization method employed. </w:t>
      </w:r>
      <w:r>
        <w:rPr>
          <w:rFonts w:hint="eastAsia"/>
          <w:lang w:val="en-US" w:eastAsia="zh-CN"/>
        </w:rPr>
        <w:t>From decoder perspective, the design of the AI decompression module is also based on the extracted effective features. Consequently, we think that the latent space is necessary for ensuring the implementation of decoder. Even if test decoder is partial knowledge, reference encoder and latent space could ensure the interoperability between DUT and TE vendors.</w:t>
      </w:r>
    </w:p>
    <w:p>
      <w:pPr>
        <w:rPr>
          <w:rFonts w:hint="default" w:cs="Times New Roman"/>
          <w:kern w:val="2"/>
          <w:sz w:val="21"/>
          <w:lang w:val="en-US" w:eastAsia="zh-CN" w:bidi="ar-SA"/>
        </w:rPr>
      </w:pPr>
      <w:r>
        <w:rPr>
          <w:rFonts w:hint="eastAsia"/>
          <w:b/>
          <w:bCs/>
          <w:i/>
          <w:iCs/>
          <w:szCs w:val="21"/>
          <w:lang w:val="en-US" w:eastAsia="zh-CN"/>
        </w:rPr>
        <w:t>Proposal 4. To consider standardizing the reference model or reference encoder and latent space for option 4.</w:t>
      </w:r>
    </w:p>
    <w:p>
      <w:pPr>
        <w:widowControl w:val="0"/>
        <w:spacing w:beforeLines="100" w:afterLines="0" w:line="240" w:lineRule="auto"/>
        <w:jc w:val="both"/>
        <w:rPr>
          <w:rFonts w:hint="default" w:cs="Times New Roman"/>
          <w:kern w:val="2"/>
          <w:sz w:val="21"/>
          <w:lang w:val="en-US" w:eastAsia="zh-CN" w:bidi="ar-SA"/>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w:t>
      </w:r>
      <w:r>
        <w:rPr>
          <w:rFonts w:hint="eastAsia"/>
          <w:bCs/>
          <w:kern w:val="0"/>
          <w:szCs w:val="21"/>
          <w:lang w:val="en-US" w:eastAsia="zh-CN"/>
        </w:rPr>
        <w:t xml:space="preserve">detailed </w:t>
      </w:r>
      <w:r>
        <w:rPr>
          <w:rFonts w:hint="eastAsia"/>
          <w:bCs/>
          <w:kern w:val="0"/>
          <w:szCs w:val="21"/>
        </w:rPr>
        <w:t>discussions on testability and interoperability issues for AI-CSI , The conclusions are:</w:t>
      </w:r>
    </w:p>
    <w:p>
      <w:pPr>
        <w:jc w:val="both"/>
        <w:rPr>
          <w:rFonts w:hint="eastAsia"/>
          <w:b/>
          <w:bCs/>
          <w:i/>
          <w:iCs/>
          <w:szCs w:val="21"/>
          <w:lang w:val="en-US" w:eastAsia="zh-CN"/>
        </w:rPr>
      </w:pPr>
      <w:r>
        <w:rPr>
          <w:rFonts w:hint="eastAsia"/>
          <w:b/>
          <w:bCs/>
          <w:i/>
          <w:iCs/>
          <w:szCs w:val="21"/>
          <w:lang w:val="en-US" w:eastAsia="zh-CN"/>
        </w:rPr>
        <w:t>Observation 1. AI CSI compression indeed achieves performance improvement compared to legacy eType II codebook from simulation results.</w:t>
      </w:r>
    </w:p>
    <w:p>
      <w:pPr>
        <w:jc w:val="both"/>
        <w:rPr>
          <w:rFonts w:hint="default"/>
          <w:b/>
          <w:bCs/>
          <w:i/>
          <w:iCs/>
          <w:szCs w:val="21"/>
          <w:lang w:val="en-US" w:eastAsia="zh-CN"/>
        </w:rPr>
      </w:pPr>
      <w:r>
        <w:rPr>
          <w:rFonts w:hint="eastAsia"/>
          <w:b/>
          <w:bCs/>
          <w:i/>
          <w:iCs/>
          <w:szCs w:val="21"/>
          <w:lang w:val="en-US" w:eastAsia="zh-CN"/>
        </w:rPr>
        <w:t>Observation 2. RAN4 built a strict guidelines to govern process for Release 15 for demodulation requirements.</w:t>
      </w:r>
    </w:p>
    <w:p>
      <w:pPr>
        <w:jc w:val="both"/>
        <w:rPr>
          <w:rFonts w:hint="default"/>
          <w:b/>
          <w:bCs/>
          <w:i/>
          <w:iCs/>
          <w:szCs w:val="21"/>
          <w:lang w:val="en-US" w:eastAsia="zh-CN"/>
        </w:rPr>
      </w:pPr>
      <w:r>
        <w:rPr>
          <w:rFonts w:hint="eastAsia"/>
          <w:b/>
          <w:bCs/>
          <w:i/>
          <w:iCs/>
          <w:szCs w:val="21"/>
          <w:lang w:val="en-US" w:eastAsia="zh-CN"/>
        </w:rPr>
        <w:t>Observation 3. If RAN4 would like to study feasibility for CSI compression, new regulations should be considered for AI-based KPI.</w:t>
      </w:r>
    </w:p>
    <w:p>
      <w:pPr>
        <w:jc w:val="both"/>
        <w:rPr>
          <w:rFonts w:hint="default"/>
          <w:b/>
          <w:bCs/>
          <w:i/>
          <w:iCs/>
          <w:szCs w:val="21"/>
          <w:lang w:val="en-US" w:eastAsia="zh-CN"/>
        </w:rPr>
      </w:pPr>
      <w:r>
        <w:rPr>
          <w:rFonts w:hint="eastAsia"/>
          <w:b/>
          <w:bCs/>
          <w:i/>
          <w:iCs/>
          <w:szCs w:val="21"/>
          <w:lang w:val="en-US" w:eastAsia="zh-CN"/>
        </w:rPr>
        <w:t xml:space="preserve">Observation 4. RAN4 requires more evaluations to validate the impacts of such differences on the outcomes. </w:t>
      </w:r>
    </w:p>
    <w:p>
      <w:pPr>
        <w:rPr>
          <w:rFonts w:hint="default" w:cs="Times New Roman"/>
          <w:kern w:val="2"/>
          <w:sz w:val="21"/>
          <w:lang w:val="en-US" w:eastAsia="zh-CN" w:bidi="ar-SA"/>
        </w:rPr>
      </w:pPr>
      <w:r>
        <w:rPr>
          <w:rFonts w:hint="eastAsia"/>
          <w:b/>
          <w:bCs/>
          <w:i/>
          <w:iCs/>
          <w:szCs w:val="21"/>
          <w:lang w:val="en-US" w:eastAsia="zh-CN"/>
        </w:rPr>
        <w:t>Proposal 4. To consider standardizing the reference model or reference encoder and latent space for option 4.</w:t>
      </w:r>
    </w:p>
    <w:p>
      <w:pPr>
        <w:widowControl w:val="0"/>
        <w:numPr>
          <w:ilvl w:val="255"/>
          <w:numId w:val="0"/>
        </w:numPr>
        <w:spacing w:beforeLines="0" w:afterLines="0" w:line="240" w:lineRule="auto"/>
        <w:rPr>
          <w:rFonts w:hint="eastAsia"/>
          <w:bCs/>
          <w:kern w:val="0"/>
          <w:szCs w:val="21"/>
        </w:rPr>
      </w:pPr>
    </w:p>
    <w:p>
      <w:pPr>
        <w:widowControl w:val="0"/>
        <w:spacing w:beforeLines="100" w:afterLines="0" w:line="240" w:lineRule="auto"/>
        <w:jc w:val="left"/>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9"/>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 xml:space="preserve">RP-234039, New WID on Artificial Intelligence (AI)/Machine Learning (ML) for NR Air Interface. </w:t>
      </w:r>
    </w:p>
    <w:p>
      <w:pPr>
        <w:pStyle w:val="33"/>
        <w:numPr>
          <w:ilvl w:val="0"/>
          <w:numId w:val="9"/>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R4-2401570, WF on AI/ML. Qualcomm Incorporated.</w:t>
      </w:r>
    </w:p>
    <w:p>
      <w:pPr>
        <w:pStyle w:val="33"/>
        <w:numPr>
          <w:ilvl w:val="0"/>
          <w:numId w:val="9"/>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3GPP TS38.101-4.</w:t>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rPr>
          <w:rFonts w:eastAsiaTheme="minorHAnsi" w:cstheme="minorBidi"/>
          <w:kern w:val="0"/>
          <w:sz w:val="21"/>
          <w:szCs w:val="21"/>
          <w:lang w:eastAsia="en-US"/>
        </w:rPr>
      </w:pPr>
      <w:r>
        <w:rPr>
          <w:rFonts w:hint="default" w:eastAsia="宋体" w:cstheme="minorBidi"/>
          <w:kern w:val="0"/>
          <w:sz w:val="21"/>
          <w:szCs w:val="21"/>
          <w:lang w:val="en-US" w:eastAsia="zh-CN"/>
        </w:rPr>
        <w:br w:type="page"/>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lang w:val="en-US" w:eastAsia="zh-CN"/>
        </w:rPr>
        <w:t>5</w:t>
      </w:r>
      <w:r>
        <w:rPr>
          <w:rFonts w:hint="eastAsia"/>
          <w:b/>
          <w:kern w:val="0"/>
          <w:sz w:val="24"/>
          <w:szCs w:val="24"/>
        </w:rPr>
        <w:t xml:space="preserve"> </w:t>
      </w:r>
      <w:r>
        <w:rPr>
          <w:rFonts w:hint="eastAsia"/>
          <w:b/>
          <w:kern w:val="0"/>
          <w:sz w:val="24"/>
          <w:szCs w:val="24"/>
          <w:lang w:val="en-US" w:eastAsia="zh-CN"/>
        </w:rPr>
        <w:t>Appendix</w:t>
      </w:r>
    </w:p>
    <w:p>
      <w:pPr>
        <w:widowControl w:val="0"/>
        <w:pBdr>
          <w:top w:val="single" w:color="auto" w:sz="12" w:space="3"/>
        </w:pBdr>
        <w:spacing w:beforeLines="0" w:afterLines="0"/>
        <w:jc w:val="left"/>
        <w:outlineLvl w:val="9"/>
        <w:rPr>
          <w:rFonts w:hint="eastAsia"/>
          <w:b/>
          <w:kern w:val="0"/>
          <w:sz w:val="24"/>
          <w:szCs w:val="24"/>
          <w:lang w:val="en-US" w:eastAsia="zh-CN"/>
        </w:rPr>
      </w:pPr>
    </w:p>
    <w:p>
      <w:pPr>
        <w:widowControl w:val="0"/>
        <w:numPr>
          <w:ilvl w:val="0"/>
          <w:numId w:val="10"/>
        </w:numPr>
        <w:pBdr>
          <w:top w:val="single" w:color="auto" w:sz="12" w:space="3"/>
        </w:pBdr>
        <w:spacing w:beforeLines="0" w:afterLines="0"/>
        <w:jc w:val="left"/>
        <w:outlineLvl w:val="9"/>
        <w:rPr>
          <w:rFonts w:hint="default"/>
          <w:b/>
          <w:kern w:val="0"/>
          <w:sz w:val="24"/>
          <w:szCs w:val="24"/>
          <w:lang w:val="en-US" w:eastAsia="zh-CN"/>
        </w:rPr>
      </w:pPr>
      <w:r>
        <w:rPr>
          <w:rFonts w:hint="eastAsia"/>
          <w:b/>
          <w:kern w:val="0"/>
          <w:sz w:val="24"/>
          <w:szCs w:val="24"/>
          <w:lang w:val="en-US" w:eastAsia="zh-CN"/>
        </w:rPr>
        <w:t>System simulation assumption</w:t>
      </w:r>
    </w:p>
    <w:p>
      <w:pPr>
        <w:widowControl w:val="0"/>
        <w:numPr>
          <w:ilvl w:val="0"/>
          <w:numId w:val="0"/>
        </w:numPr>
        <w:pBdr>
          <w:top w:val="single" w:color="auto" w:sz="12" w:space="3"/>
        </w:pBdr>
        <w:spacing w:beforeLines="0" w:afterLines="0"/>
        <w:jc w:val="left"/>
        <w:outlineLvl w:val="9"/>
        <w:rPr>
          <w:rFonts w:hint="default"/>
          <w:b/>
          <w:kern w:val="0"/>
          <w:sz w:val="24"/>
          <w:szCs w:val="24"/>
          <w:lang w:val="en-US" w:eastAsia="zh-CN"/>
        </w:rPr>
      </w:pPr>
    </w:p>
    <w:p>
      <w:pPr>
        <w:widowControl w:val="0"/>
        <w:pBdr>
          <w:top w:val="single" w:color="auto" w:sz="12" w:space="3"/>
        </w:pBdr>
        <w:spacing w:beforeLines="0" w:afterLines="0"/>
        <w:jc w:val="center"/>
        <w:outlineLvl w:val="9"/>
        <w:rPr>
          <w:rFonts w:hint="default"/>
          <w:b w:val="0"/>
          <w:bCs/>
          <w:kern w:val="0"/>
          <w:sz w:val="21"/>
          <w:szCs w:val="21"/>
          <w:lang w:val="en-US" w:eastAsia="zh-CN"/>
        </w:rPr>
      </w:pPr>
      <w:r>
        <w:rPr>
          <w:rFonts w:hint="eastAsia"/>
          <w:b w:val="0"/>
          <w:bCs/>
          <w:kern w:val="0"/>
          <w:sz w:val="21"/>
          <w:szCs w:val="21"/>
          <w:lang w:val="en-US" w:eastAsia="zh-CN"/>
        </w:rPr>
        <w:t>Table 5-1. System simulation assumptions for training data</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42"/>
        <w:gridCol w:w="5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shd w:val="clear" w:color="auto" w:fill="D9D9D9"/>
          </w:tcPr>
          <w:p>
            <w:pPr>
              <w:pStyle w:val="64"/>
              <w:widowControl/>
              <w:suppressLineNumbers w:val="0"/>
              <w:spacing w:before="0" w:beforeAutospacing="0" w:after="0" w:afterAutospacing="0" w:line="256" w:lineRule="auto"/>
              <w:ind w:left="0" w:right="0"/>
              <w:rPr>
                <w:rFonts w:hint="default"/>
                <w:szCs w:val="20"/>
              </w:rPr>
            </w:pPr>
            <w:r>
              <w:rPr>
                <w:rFonts w:hint="default"/>
                <w:szCs w:val="20"/>
              </w:rPr>
              <w:t>Parameter</w:t>
            </w:r>
          </w:p>
        </w:tc>
        <w:tc>
          <w:tcPr>
            <w:tcW w:w="5621" w:type="dxa"/>
            <w:tcBorders>
              <w:top w:val="single" w:color="auto" w:sz="4" w:space="0"/>
              <w:left w:val="single" w:color="auto" w:sz="4" w:space="0"/>
              <w:bottom w:val="single" w:color="auto" w:sz="4" w:space="0"/>
              <w:right w:val="single" w:color="auto" w:sz="4" w:space="0"/>
            </w:tcBorders>
            <w:shd w:val="clear" w:color="auto" w:fill="D9D9D9"/>
          </w:tcPr>
          <w:p>
            <w:pPr>
              <w:pStyle w:val="64"/>
              <w:widowControl/>
              <w:suppressLineNumbers w:val="0"/>
              <w:spacing w:before="0" w:beforeAutospacing="0" w:after="0" w:afterAutospacing="0" w:line="256" w:lineRule="auto"/>
              <w:ind w:left="0" w:right="0"/>
              <w:rPr>
                <w:rFonts w:hint="default"/>
                <w:szCs w:val="20"/>
              </w:rPr>
            </w:pPr>
            <w:r>
              <w:rPr>
                <w:rFonts w:hint="default"/>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Duplex, Waveform</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FDD, 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Multiple access</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OFDMA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Scenario</w:t>
            </w:r>
          </w:p>
        </w:tc>
        <w:tc>
          <w:tcPr>
            <w:tcW w:w="562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both"/>
              <w:rPr>
                <w:rFonts w:hint="default" w:ascii="Arial" w:hAnsi="Arial"/>
                <w:sz w:val="18"/>
                <w:szCs w:val="20"/>
              </w:rPr>
            </w:pPr>
            <w:r>
              <w:rPr>
                <w:rFonts w:hint="default" w:ascii="Arial" w:hAnsi="Arial"/>
                <w:sz w:val="18"/>
                <w:szCs w:val="20"/>
              </w:rPr>
              <w:t>Dense Urban (Macro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Frequency Range</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napToGrid w:val="0"/>
                <w:szCs w:val="20"/>
              </w:rPr>
              <w:t>FR1 only, [2GHz,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Inter-BS distance</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val="en-US" w:eastAsia="zh-CN"/>
              </w:rPr>
              <w:t>Channel model        </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According to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Antenna setup and port layouts at gNB</w:t>
            </w:r>
          </w:p>
        </w:tc>
        <w:tc>
          <w:tcPr>
            <w:tcW w:w="562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Companies need to report which option(s) are used between</w:t>
            </w:r>
          </w:p>
          <w:p>
            <w:pPr>
              <w:keepNext/>
              <w:keepLines/>
              <w:widowControl/>
              <w:suppressLineNumbers w:val="0"/>
              <w:spacing w:before="0" w:beforeAutospacing="0" w:after="0" w:afterAutospacing="0" w:line="256" w:lineRule="auto"/>
              <w:ind w:left="0" w:right="0"/>
              <w:jc w:val="both"/>
              <w:rPr>
                <w:rFonts w:hint="default" w:ascii="Arial" w:hAnsi="Arial" w:cs="Arial"/>
                <w:sz w:val="18"/>
                <w:szCs w:val="18"/>
                <w:lang w:val="fr-FR" w:eastAsia="zh-CN"/>
              </w:rPr>
            </w:pPr>
            <w:r>
              <w:rPr>
                <w:rFonts w:hint="default" w:ascii="Arial" w:hAnsi="Arial" w:cs="Arial"/>
                <w:sz w:val="18"/>
                <w:szCs w:val="18"/>
                <w:lang w:val="fr-FR" w:eastAsia="zh-CN"/>
              </w:rPr>
              <w:t>- 32 ports: (8,8,2,1,1,2,8), (dH,dV) = (0.5, 0.8)</w:t>
            </w:r>
            <w:r>
              <w:rPr>
                <w:rFonts w:hint="default" w:ascii="Arial" w:hAnsi="Arial" w:cs="Arial"/>
                <w:sz w:val="18"/>
                <w:szCs w:val="18"/>
                <w:lang w:eastAsia="zh-CN"/>
              </w:rPr>
              <w:t>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Antenna setup and port layouts at UE</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4RX: (1,2,2,1,1,1,2), (dH,dV) = (0.5, 0.5)λ for (rank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BS Tx power</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44dBm for 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BS antenna height</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UE antenna height &amp; gain</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Follow TR36.873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UE receiver noise figure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Merge w:val="restar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Numerology</w:t>
            </w:r>
          </w:p>
        </w:tc>
        <w:tc>
          <w:tcPr>
            <w:tcW w:w="164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szCs w:val="20"/>
                <w:lang w:eastAsia="zh-CN"/>
              </w:rPr>
            </w:pPr>
            <w:r>
              <w:rPr>
                <w:rFonts w:hint="default"/>
                <w:szCs w:val="20"/>
                <w:lang w:eastAsia="zh-CN"/>
              </w:rPr>
              <w:t>Slot/non-slot</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szCs w:val="20"/>
                <w:lang w:eastAsia="zh-CN"/>
              </w:rPr>
              <w:t>14 OFDM symbol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56" w:lineRule="auto"/>
              <w:ind w:left="0" w:right="0"/>
              <w:rPr>
                <w:rFonts w:hint="default" w:ascii="Arial" w:hAnsi="Arial"/>
                <w:sz w:val="18"/>
                <w:szCs w:val="20"/>
                <w:lang w:eastAsia="zh-CN"/>
              </w:rPr>
            </w:pPr>
          </w:p>
        </w:tc>
        <w:tc>
          <w:tcPr>
            <w:tcW w:w="164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SCS</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Yu Mincho"/>
                <w:szCs w:val="20"/>
                <w:lang w:eastAsia="ja-JP"/>
              </w:rPr>
            </w:pPr>
            <w:r>
              <w:rPr>
                <w:rFonts w:hint="default"/>
                <w:szCs w:val="20"/>
                <w:lang w:eastAsia="zh-CN"/>
              </w:rPr>
              <w:t xml:space="preserve">Baseline: 15kHz for 2GHz;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Simulation bandwidth</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MS Mincho"/>
                <w:snapToGrid w:val="0"/>
                <w:szCs w:val="20"/>
                <w:lang w:eastAsia="en-US"/>
              </w:rPr>
            </w:pPr>
            <w:r>
              <w:rPr>
                <w:rFonts w:hint="default"/>
                <w:szCs w:val="20"/>
                <w:lang w:eastAsia="zh-CN"/>
              </w:rPr>
              <w:t xml:space="preserve">Baseline: </w:t>
            </w:r>
            <w:r>
              <w:rPr>
                <w:rFonts w:hint="default"/>
                <w:snapToGrid w:val="0"/>
                <w:szCs w:val="20"/>
              </w:rPr>
              <w:t>10 MHz for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szCs w:val="20"/>
                <w:lang w:eastAsia="zh-CN"/>
              </w:rPr>
            </w:pPr>
            <w:r>
              <w:rPr>
                <w:rFonts w:hint="default"/>
                <w:szCs w:val="20"/>
                <w:lang w:eastAsia="zh-CN"/>
              </w:rPr>
              <w:t>Frame structure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Slot Format 0 (all downlink) for all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MIMO scheme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cs="Arial"/>
                <w:szCs w:val="18"/>
              </w:rPr>
              <w:t>SU-MIMO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vAlign w:val="center"/>
          </w:tcPr>
          <w:p>
            <w:pPr>
              <w:pStyle w:val="57"/>
              <w:keepNext w:val="0"/>
              <w:keepLines w:val="0"/>
              <w:widowControl w:val="0"/>
              <w:suppressLineNumbers w:val="0"/>
              <w:spacing w:before="0" w:beforeAutospacing="0" w:after="0" w:afterAutospacing="0" w:line="256" w:lineRule="auto"/>
              <w:ind w:left="0" w:right="0"/>
              <w:rPr>
                <w:rFonts w:hint="default" w:cs="Times New Roman"/>
                <w:szCs w:val="20"/>
                <w:highlight w:val="yellow"/>
                <w:lang w:eastAsia="zh-CN"/>
              </w:rPr>
            </w:pPr>
            <w:r>
              <w:rPr>
                <w:rFonts w:hint="default"/>
                <w:szCs w:val="20"/>
                <w:highlight w:val="yellow"/>
                <w:lang w:val="en-US" w:eastAsia="zh-CN"/>
              </w:rPr>
              <w:t>MIMO layers</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szCs w:val="20"/>
                <w:highlight w:val="yellow"/>
                <w:lang w:eastAsia="zh-CN"/>
              </w:rPr>
            </w:pPr>
            <w:r>
              <w:rPr>
                <w:rFonts w:hint="default"/>
                <w:szCs w:val="20"/>
                <w:highlight w:val="yellow"/>
                <w:lang w:eastAsia="zh-CN"/>
              </w:rPr>
              <w:t>Baseline: 1</w:t>
            </w:r>
          </w:p>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highlight w:val="yellow"/>
                <w:lang w:eastAsia="en-US"/>
              </w:rPr>
            </w:pPr>
            <w:r>
              <w:rPr>
                <w:rFonts w:hint="eastAsia"/>
                <w:szCs w:val="20"/>
                <w:highlight w:val="yellow"/>
                <w:lang w:eastAsia="zh-CN"/>
              </w:rPr>
              <w:t>Optional: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vAlign w:val="center"/>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CSI feedback</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Feedback assumption at least for baseline scheme</w:t>
            </w:r>
          </w:p>
          <w:p>
            <w:pPr>
              <w:keepNext w:val="0"/>
              <w:keepLines w:val="0"/>
              <w:widowControl w:val="0"/>
              <w:suppressLineNumbers w:val="0"/>
              <w:spacing w:before="0" w:beforeAutospacing="0" w:after="0" w:afterAutospacing="0" w:line="221" w:lineRule="atLeast"/>
              <w:ind w:left="0" w:right="0"/>
              <w:jc w:val="both"/>
              <w:textAlignment w:val="baseline"/>
              <w:rPr>
                <w:rFonts w:hint="default" w:ascii="Arial" w:hAnsi="Arial" w:eastAsia="Microsoft YaHei UI" w:cs="Arial"/>
                <w:sz w:val="18"/>
                <w:szCs w:val="18"/>
                <w:lang w:eastAsia="zh-CN"/>
              </w:rPr>
            </w:pPr>
            <w:r>
              <w:rPr>
                <w:rFonts w:hint="default" w:ascii="Arial" w:hAnsi="Arial" w:eastAsia="Microsoft YaHei UI" w:cs="Arial"/>
                <w:sz w:val="18"/>
                <w:szCs w:val="18"/>
                <w:lang w:eastAsia="zh-CN"/>
              </w:rPr>
              <w:t xml:space="preserve">- CSI feedback periodicity </w:t>
            </w:r>
            <w:r>
              <w:rPr>
                <w:rFonts w:hint="default" w:ascii="Arial" w:hAnsi="Arial" w:eastAsia="Microsoft YaHei UI" w:cs="Arial"/>
                <w:sz w:val="14"/>
                <w:szCs w:val="14"/>
                <w:lang w:eastAsia="zh-CN"/>
              </w:rPr>
              <w:t>(full CSI feedback)</w:t>
            </w:r>
            <w:r>
              <w:rPr>
                <w:rFonts w:hint="default" w:ascii="Arial" w:hAnsi="Arial" w:eastAsia="Microsoft YaHei UI" w:cs="Arial"/>
                <w:sz w:val="18"/>
                <w:szCs w:val="18"/>
                <w:lang w:eastAsia="zh-CN"/>
              </w:rPr>
              <w:t>: 5 ms (baseline)</w:t>
            </w:r>
          </w:p>
          <w:p>
            <w:pPr>
              <w:keepNext w:val="0"/>
              <w:keepLines w:val="0"/>
              <w:widowControl w:val="0"/>
              <w:suppressLineNumbers w:val="0"/>
              <w:spacing w:before="0" w:beforeAutospacing="0" w:after="0" w:afterAutospacing="0" w:line="221" w:lineRule="atLeast"/>
              <w:ind w:left="0" w:right="0"/>
              <w:jc w:val="both"/>
              <w:textAlignment w:val="baseline"/>
              <w:rPr>
                <w:rFonts w:hint="default" w:ascii="Arial" w:hAnsi="Arial" w:eastAsia="MS Mincho" w:cs="Arial"/>
                <w:sz w:val="18"/>
                <w:szCs w:val="18"/>
              </w:rPr>
            </w:pPr>
            <w:r>
              <w:rPr>
                <w:rFonts w:hint="default" w:ascii="Arial" w:hAnsi="Arial" w:eastAsia="Microsoft YaHei UI" w:cs="Arial"/>
                <w:sz w:val="18"/>
                <w:szCs w:val="18"/>
                <w:lang w:eastAsia="zh-CN"/>
              </w:rPr>
              <w:t xml:space="preserve">- Scheduling delay </w:t>
            </w:r>
            <w:r>
              <w:rPr>
                <w:rFonts w:hint="default" w:ascii="Arial" w:hAnsi="Arial" w:eastAsia="Microsoft YaHei UI" w:cs="Arial"/>
                <w:sz w:val="14"/>
                <w:szCs w:val="14"/>
                <w:lang w:eastAsia="zh-CN"/>
              </w:rPr>
              <w:t>(from CSI feedback to time to apply in scheduling)</w:t>
            </w:r>
            <w:r>
              <w:rPr>
                <w:rFonts w:hint="default" w:ascii="Arial" w:hAnsi="Arial" w:eastAsia="Microsoft YaHei UI" w:cs="Arial"/>
                <w:sz w:val="18"/>
                <w:szCs w:val="18"/>
                <w:lang w:eastAsia="zh-CN"/>
              </w:rPr>
              <w:t>: 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Traffic load (Resource utilization)</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MS Mincho" w:cs="Arial"/>
                <w:szCs w:val="18"/>
                <w:lang w:eastAsia="en-US"/>
              </w:rPr>
            </w:pPr>
            <w:r>
              <w:rPr>
                <w:rFonts w:hint="default"/>
                <w:szCs w:val="20"/>
              </w:rPr>
              <w:t>Baseline: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UE distribution</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val="en-US" w:eastAsia="zh-CN"/>
              </w:rPr>
              <w:t>CSI compression: 80% indoor (3 km/h), 20% outdoor (30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UE receiver</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MMSE-IRC as the baseline receiver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Feedback assumption</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Channel estimation         </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rPr>
                <w:rFonts w:hint="default" w:cs="Arial"/>
                <w:szCs w:val="18"/>
              </w:rPr>
            </w:pPr>
            <w:r>
              <w:rPr>
                <w:rFonts w:hint="eastAsia" w:ascii="Arial" w:hAnsi="Arial" w:eastAsia="宋体" w:cs="Arial"/>
                <w:sz w:val="18"/>
                <w:szCs w:val="18"/>
                <w:highlight w:val="none"/>
                <w:lang w:val="en-US" w:eastAsia="zh-CN"/>
              </w:rPr>
              <w:t>i</w:t>
            </w:r>
            <w:r>
              <w:rPr>
                <w:rFonts w:hint="eastAsia" w:ascii="Arial" w:hAnsi="Arial" w:eastAsia="Yu Mincho" w:cs="Arial"/>
                <w:sz w:val="18"/>
                <w:szCs w:val="18"/>
                <w:highlight w:val="none"/>
                <w:lang w:val="en-US" w:eastAsia="ja-JP"/>
              </w:rPr>
              <w:t>deal channel estimation</w:t>
            </w:r>
          </w:p>
        </w:tc>
      </w:tr>
    </w:tbl>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pStyle w:val="33"/>
        <w:numPr>
          <w:ilvl w:val="0"/>
          <w:numId w:val="10"/>
        </w:numPr>
        <w:spacing w:afterLines="0" w:line="259" w:lineRule="auto"/>
        <w:ind w:left="0" w:leftChars="0" w:right="-22" w:rightChars="0" w:firstLine="0" w:firstLineChars="0"/>
        <w:jc w:val="left"/>
        <w:rPr>
          <w:rFonts w:hint="default" w:eastAsia="宋体" w:cstheme="minorBidi"/>
          <w:kern w:val="0"/>
          <w:sz w:val="21"/>
          <w:szCs w:val="21"/>
          <w:lang w:val="en-US" w:eastAsia="zh-CN"/>
        </w:rPr>
      </w:pPr>
      <w:r>
        <w:rPr>
          <w:rFonts w:hint="eastAsia" w:eastAsia="宋体" w:cstheme="minorBidi"/>
          <w:kern w:val="0"/>
          <w:sz w:val="21"/>
          <w:szCs w:val="21"/>
          <w:lang w:val="en-US" w:eastAsia="zh-CN"/>
        </w:rPr>
        <w:t>AI model structure</w:t>
      </w: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center"/>
        <w:rPr>
          <w:rFonts w:hint="eastAsia" w:eastAsia="等线"/>
          <w:b/>
          <w:lang w:val="en-US" w:eastAsia="zh-CN"/>
        </w:rPr>
      </w:pPr>
      <w:r>
        <w:rPr>
          <w:rFonts w:hint="eastAsia" w:eastAsia="等线"/>
          <w:b/>
          <w:lang w:val="en-US" w:eastAsia="zh-CN"/>
        </w:rPr>
        <w:drawing>
          <wp:inline distT="0" distB="0" distL="0" distR="0">
            <wp:extent cx="3759835" cy="3599815"/>
            <wp:effectExtent l="0" t="0" r="4445"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center"/>
        <w:rPr>
          <w:rFonts w:hint="default" w:eastAsia="宋体" w:cstheme="minorBidi"/>
          <w:kern w:val="0"/>
          <w:sz w:val="21"/>
          <w:szCs w:val="21"/>
          <w:lang w:val="en-US" w:eastAsia="zh-CN"/>
        </w:rPr>
      </w:pPr>
      <w:r>
        <w:rPr>
          <w:rFonts w:hint="eastAsia" w:eastAsia="等线"/>
          <w:b/>
          <w:lang w:val="en-US" w:eastAsia="zh-CN"/>
        </w:rPr>
        <w:drawing>
          <wp:inline distT="0" distB="0" distL="0" distR="0">
            <wp:extent cx="3752215" cy="3716020"/>
            <wp:effectExtent l="0" t="0" r="1206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765842" cy="3729056"/>
                    </a:xfrm>
                    <a:prstGeom prst="rect">
                      <a:avLst/>
                    </a:prstGeom>
                    <a:noFill/>
                  </pic:spPr>
                </pic:pic>
              </a:graphicData>
            </a:graphic>
          </wp:inline>
        </w:drawing>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FDBCB879"/>
    <w:multiLevelType w:val="singleLevel"/>
    <w:tmpl w:val="FDBCB879"/>
    <w:lvl w:ilvl="0" w:tentative="0">
      <w:start w:val="1"/>
      <w:numFmt w:val="bullet"/>
      <w:lvlText w:val=""/>
      <w:lvlJc w:val="left"/>
      <w:pPr>
        <w:ind w:left="420" w:hanging="420"/>
      </w:pPr>
      <w:rPr>
        <w:rFonts w:hint="default" w:ascii="Wingdings" w:hAnsi="Wingdings"/>
        <w:sz w:val="10"/>
        <w:szCs w:val="10"/>
      </w:rPr>
    </w:lvl>
  </w:abstractNum>
  <w:abstractNum w:abstractNumId="3">
    <w:nsid w:val="0BB3C697"/>
    <w:multiLevelType w:val="singleLevel"/>
    <w:tmpl w:val="0BB3C697"/>
    <w:lvl w:ilvl="0" w:tentative="0">
      <w:start w:val="1"/>
      <w:numFmt w:val="decimal"/>
      <w:suff w:val="space"/>
      <w:lvlText w:val="(%1)"/>
      <w:lvlJc w:val="left"/>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4"/>
  </w:num>
  <w:num w:numId="2">
    <w:abstractNumId w:val="9"/>
  </w:num>
  <w:num w:numId="3">
    <w:abstractNumId w:val="5"/>
  </w:num>
  <w:num w:numId="4">
    <w:abstractNumId w:val="6"/>
  </w:num>
  <w:num w:numId="5">
    <w:abstractNumId w:val="1"/>
  </w:num>
  <w:num w:numId="6">
    <w:abstractNumId w:val="0"/>
  </w:num>
  <w:num w:numId="7">
    <w:abstractNumId w:val="7"/>
  </w:num>
  <w:num w:numId="8">
    <w:abstractNumId w:val="2"/>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0CC1"/>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56F"/>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37AF"/>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037B3"/>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3F6348B"/>
    <w:rsid w:val="04030035"/>
    <w:rsid w:val="04251A4C"/>
    <w:rsid w:val="042D2E97"/>
    <w:rsid w:val="04305EA0"/>
    <w:rsid w:val="04352418"/>
    <w:rsid w:val="043865BF"/>
    <w:rsid w:val="044C78D8"/>
    <w:rsid w:val="04537B11"/>
    <w:rsid w:val="04684A28"/>
    <w:rsid w:val="0474768C"/>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6515DC"/>
    <w:rsid w:val="057009A5"/>
    <w:rsid w:val="057D1D66"/>
    <w:rsid w:val="05972BB7"/>
    <w:rsid w:val="059D265F"/>
    <w:rsid w:val="05B2756C"/>
    <w:rsid w:val="05B92EC1"/>
    <w:rsid w:val="05C40203"/>
    <w:rsid w:val="05D03328"/>
    <w:rsid w:val="05E078B3"/>
    <w:rsid w:val="05EE6E49"/>
    <w:rsid w:val="0601277E"/>
    <w:rsid w:val="060C5AED"/>
    <w:rsid w:val="06103146"/>
    <w:rsid w:val="06172561"/>
    <w:rsid w:val="061E54DA"/>
    <w:rsid w:val="061E5E22"/>
    <w:rsid w:val="06460B91"/>
    <w:rsid w:val="0652447E"/>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26476"/>
    <w:rsid w:val="074855FD"/>
    <w:rsid w:val="07627CA0"/>
    <w:rsid w:val="076319C4"/>
    <w:rsid w:val="07691233"/>
    <w:rsid w:val="07716E36"/>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24FF4"/>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32720"/>
    <w:rsid w:val="08E56C64"/>
    <w:rsid w:val="08E916DF"/>
    <w:rsid w:val="08FC0AA5"/>
    <w:rsid w:val="09291241"/>
    <w:rsid w:val="09306537"/>
    <w:rsid w:val="09355076"/>
    <w:rsid w:val="09392119"/>
    <w:rsid w:val="09445E95"/>
    <w:rsid w:val="09543B3B"/>
    <w:rsid w:val="09600FBD"/>
    <w:rsid w:val="0963672B"/>
    <w:rsid w:val="096843B7"/>
    <w:rsid w:val="09734970"/>
    <w:rsid w:val="098143BC"/>
    <w:rsid w:val="09862E2D"/>
    <w:rsid w:val="099E309A"/>
    <w:rsid w:val="099F436D"/>
    <w:rsid w:val="09BD407A"/>
    <w:rsid w:val="09DA0E26"/>
    <w:rsid w:val="09DC10BE"/>
    <w:rsid w:val="09E55691"/>
    <w:rsid w:val="09F67CD5"/>
    <w:rsid w:val="0A0835C8"/>
    <w:rsid w:val="0A145721"/>
    <w:rsid w:val="0A1F01B6"/>
    <w:rsid w:val="0A2B13BC"/>
    <w:rsid w:val="0A3708FF"/>
    <w:rsid w:val="0A3A5FEA"/>
    <w:rsid w:val="0A3B01F9"/>
    <w:rsid w:val="0A3F0488"/>
    <w:rsid w:val="0A402A36"/>
    <w:rsid w:val="0A646846"/>
    <w:rsid w:val="0A9B1B16"/>
    <w:rsid w:val="0A9E3D3D"/>
    <w:rsid w:val="0AA077E0"/>
    <w:rsid w:val="0AC0212C"/>
    <w:rsid w:val="0AC27B0C"/>
    <w:rsid w:val="0ACB2C6F"/>
    <w:rsid w:val="0AD542C1"/>
    <w:rsid w:val="0ADA3AD9"/>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6B55CC"/>
    <w:rsid w:val="0B791556"/>
    <w:rsid w:val="0B7B11F4"/>
    <w:rsid w:val="0B8406F4"/>
    <w:rsid w:val="0B8436DD"/>
    <w:rsid w:val="0B847B39"/>
    <w:rsid w:val="0B914186"/>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BD28F6"/>
    <w:rsid w:val="0CC37BC2"/>
    <w:rsid w:val="0CC83EB0"/>
    <w:rsid w:val="0CD87ABE"/>
    <w:rsid w:val="0CDD1EC5"/>
    <w:rsid w:val="0CE26C42"/>
    <w:rsid w:val="0CE76B48"/>
    <w:rsid w:val="0CED4443"/>
    <w:rsid w:val="0CF62FDB"/>
    <w:rsid w:val="0CFB523A"/>
    <w:rsid w:val="0D2132FE"/>
    <w:rsid w:val="0D4B44A1"/>
    <w:rsid w:val="0D6E10F4"/>
    <w:rsid w:val="0D6E2620"/>
    <w:rsid w:val="0D704E21"/>
    <w:rsid w:val="0D753731"/>
    <w:rsid w:val="0D794A06"/>
    <w:rsid w:val="0D7F48FE"/>
    <w:rsid w:val="0D826E5C"/>
    <w:rsid w:val="0D883C88"/>
    <w:rsid w:val="0D900677"/>
    <w:rsid w:val="0D966BF7"/>
    <w:rsid w:val="0DA232AE"/>
    <w:rsid w:val="0DBD71A3"/>
    <w:rsid w:val="0DCC3AE8"/>
    <w:rsid w:val="0DD87842"/>
    <w:rsid w:val="0DED1772"/>
    <w:rsid w:val="0DF202E1"/>
    <w:rsid w:val="0DF53CE3"/>
    <w:rsid w:val="0E0961C5"/>
    <w:rsid w:val="0E131C69"/>
    <w:rsid w:val="0E147898"/>
    <w:rsid w:val="0E2240AB"/>
    <w:rsid w:val="0E2F216B"/>
    <w:rsid w:val="0E3352C6"/>
    <w:rsid w:val="0E372B53"/>
    <w:rsid w:val="0E533A98"/>
    <w:rsid w:val="0E5433AA"/>
    <w:rsid w:val="0E6271DF"/>
    <w:rsid w:val="0E81568A"/>
    <w:rsid w:val="0E942250"/>
    <w:rsid w:val="0E963344"/>
    <w:rsid w:val="0E9E6E00"/>
    <w:rsid w:val="0EA224A6"/>
    <w:rsid w:val="0EA40C1C"/>
    <w:rsid w:val="0ED50DDE"/>
    <w:rsid w:val="0EE41032"/>
    <w:rsid w:val="0EEC6F1D"/>
    <w:rsid w:val="0EF87542"/>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9666D"/>
    <w:rsid w:val="0FBE2A42"/>
    <w:rsid w:val="0FC17CCE"/>
    <w:rsid w:val="0FC424B9"/>
    <w:rsid w:val="0FD70565"/>
    <w:rsid w:val="0FEC680C"/>
    <w:rsid w:val="0FFD1BFC"/>
    <w:rsid w:val="0FFD3E3B"/>
    <w:rsid w:val="10007AD6"/>
    <w:rsid w:val="100E19D0"/>
    <w:rsid w:val="101007E8"/>
    <w:rsid w:val="10165F74"/>
    <w:rsid w:val="101C4A03"/>
    <w:rsid w:val="101D0C86"/>
    <w:rsid w:val="10431B36"/>
    <w:rsid w:val="104A023B"/>
    <w:rsid w:val="10505F3B"/>
    <w:rsid w:val="105A6448"/>
    <w:rsid w:val="106D2686"/>
    <w:rsid w:val="107C3E2C"/>
    <w:rsid w:val="107D41AE"/>
    <w:rsid w:val="108C2479"/>
    <w:rsid w:val="10AF5931"/>
    <w:rsid w:val="10C715C5"/>
    <w:rsid w:val="10D335EF"/>
    <w:rsid w:val="10DC1784"/>
    <w:rsid w:val="10E746EA"/>
    <w:rsid w:val="10E83FE0"/>
    <w:rsid w:val="10EC3168"/>
    <w:rsid w:val="10F52718"/>
    <w:rsid w:val="114028DC"/>
    <w:rsid w:val="11404ED0"/>
    <w:rsid w:val="116A74C9"/>
    <w:rsid w:val="116F1EB0"/>
    <w:rsid w:val="117B1D6A"/>
    <w:rsid w:val="117C2D9D"/>
    <w:rsid w:val="117F159E"/>
    <w:rsid w:val="11821DC9"/>
    <w:rsid w:val="11822874"/>
    <w:rsid w:val="11921373"/>
    <w:rsid w:val="119C45DF"/>
    <w:rsid w:val="119D7849"/>
    <w:rsid w:val="11C67B8F"/>
    <w:rsid w:val="11E57D4F"/>
    <w:rsid w:val="11F92DAB"/>
    <w:rsid w:val="11FC38D5"/>
    <w:rsid w:val="1201463E"/>
    <w:rsid w:val="12095296"/>
    <w:rsid w:val="120C5DAD"/>
    <w:rsid w:val="1210682D"/>
    <w:rsid w:val="121563D9"/>
    <w:rsid w:val="12200A87"/>
    <w:rsid w:val="1227318C"/>
    <w:rsid w:val="12386D2E"/>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40403C"/>
    <w:rsid w:val="1355107F"/>
    <w:rsid w:val="135D4D2E"/>
    <w:rsid w:val="1366638D"/>
    <w:rsid w:val="136D76E8"/>
    <w:rsid w:val="137266E0"/>
    <w:rsid w:val="138E530D"/>
    <w:rsid w:val="13AA5FA1"/>
    <w:rsid w:val="13C20262"/>
    <w:rsid w:val="13D024B3"/>
    <w:rsid w:val="13D115EF"/>
    <w:rsid w:val="13D214FD"/>
    <w:rsid w:val="13D57D6C"/>
    <w:rsid w:val="13D86A45"/>
    <w:rsid w:val="13DD445E"/>
    <w:rsid w:val="13FD073F"/>
    <w:rsid w:val="140171D9"/>
    <w:rsid w:val="1405674E"/>
    <w:rsid w:val="140815BB"/>
    <w:rsid w:val="14087FC1"/>
    <w:rsid w:val="14095006"/>
    <w:rsid w:val="141E583B"/>
    <w:rsid w:val="1424615D"/>
    <w:rsid w:val="142C143A"/>
    <w:rsid w:val="145D452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1D66BC"/>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C0054B"/>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C60F0"/>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57F4E"/>
    <w:rsid w:val="1806062C"/>
    <w:rsid w:val="18171305"/>
    <w:rsid w:val="181C41D3"/>
    <w:rsid w:val="18334194"/>
    <w:rsid w:val="183E1D37"/>
    <w:rsid w:val="184D0787"/>
    <w:rsid w:val="185D1883"/>
    <w:rsid w:val="18812331"/>
    <w:rsid w:val="18816F1C"/>
    <w:rsid w:val="18853F3E"/>
    <w:rsid w:val="18945127"/>
    <w:rsid w:val="18956393"/>
    <w:rsid w:val="18A8582C"/>
    <w:rsid w:val="18A96D72"/>
    <w:rsid w:val="18B50543"/>
    <w:rsid w:val="18CD7A02"/>
    <w:rsid w:val="19001FFC"/>
    <w:rsid w:val="190E2B4A"/>
    <w:rsid w:val="19256D7A"/>
    <w:rsid w:val="19322C83"/>
    <w:rsid w:val="193275C2"/>
    <w:rsid w:val="19394FD2"/>
    <w:rsid w:val="19413FB3"/>
    <w:rsid w:val="195F3A6C"/>
    <w:rsid w:val="19663168"/>
    <w:rsid w:val="19786B0A"/>
    <w:rsid w:val="197D5C29"/>
    <w:rsid w:val="199A2059"/>
    <w:rsid w:val="19AD5184"/>
    <w:rsid w:val="19B46E10"/>
    <w:rsid w:val="19B7582F"/>
    <w:rsid w:val="19C456C1"/>
    <w:rsid w:val="19D75435"/>
    <w:rsid w:val="19DD71E7"/>
    <w:rsid w:val="19F061A1"/>
    <w:rsid w:val="1A054259"/>
    <w:rsid w:val="1A081816"/>
    <w:rsid w:val="1A165171"/>
    <w:rsid w:val="1A4858FF"/>
    <w:rsid w:val="1A4C698A"/>
    <w:rsid w:val="1A5E4B5A"/>
    <w:rsid w:val="1A612F84"/>
    <w:rsid w:val="1A672B1C"/>
    <w:rsid w:val="1A800F48"/>
    <w:rsid w:val="1A8301C0"/>
    <w:rsid w:val="1A872248"/>
    <w:rsid w:val="1A880997"/>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86C40"/>
    <w:rsid w:val="1BBE493C"/>
    <w:rsid w:val="1BC01115"/>
    <w:rsid w:val="1BC36606"/>
    <w:rsid w:val="1BC44015"/>
    <w:rsid w:val="1BCA6284"/>
    <w:rsid w:val="1BD11C33"/>
    <w:rsid w:val="1BD146FC"/>
    <w:rsid w:val="1BF86C63"/>
    <w:rsid w:val="1C013494"/>
    <w:rsid w:val="1C053414"/>
    <w:rsid w:val="1C0C6675"/>
    <w:rsid w:val="1C112A1C"/>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DF48C5"/>
    <w:rsid w:val="1CE615C9"/>
    <w:rsid w:val="1CF1420C"/>
    <w:rsid w:val="1D037029"/>
    <w:rsid w:val="1D0C4B86"/>
    <w:rsid w:val="1D3305FF"/>
    <w:rsid w:val="1D395282"/>
    <w:rsid w:val="1D5F5386"/>
    <w:rsid w:val="1D6F2959"/>
    <w:rsid w:val="1D7072CE"/>
    <w:rsid w:val="1D9E30A9"/>
    <w:rsid w:val="1DA3542A"/>
    <w:rsid w:val="1DAB1006"/>
    <w:rsid w:val="1DB33C11"/>
    <w:rsid w:val="1DBA7555"/>
    <w:rsid w:val="1DC65562"/>
    <w:rsid w:val="1DD32F44"/>
    <w:rsid w:val="1DE22D4F"/>
    <w:rsid w:val="1DE94164"/>
    <w:rsid w:val="1DEA459C"/>
    <w:rsid w:val="1DEE1B11"/>
    <w:rsid w:val="1E164B52"/>
    <w:rsid w:val="1E273844"/>
    <w:rsid w:val="1E2D426F"/>
    <w:rsid w:val="1E2F243E"/>
    <w:rsid w:val="1E455D19"/>
    <w:rsid w:val="1E591C14"/>
    <w:rsid w:val="1E595CAF"/>
    <w:rsid w:val="1E6607F9"/>
    <w:rsid w:val="1E805396"/>
    <w:rsid w:val="1E884F62"/>
    <w:rsid w:val="1E9D6342"/>
    <w:rsid w:val="1E9D6D15"/>
    <w:rsid w:val="1EA77730"/>
    <w:rsid w:val="1EC36E9D"/>
    <w:rsid w:val="1ED72F24"/>
    <w:rsid w:val="1EDE4CB0"/>
    <w:rsid w:val="1EE25FDD"/>
    <w:rsid w:val="1EF5103F"/>
    <w:rsid w:val="1EFF5721"/>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1970"/>
    <w:rsid w:val="208574F4"/>
    <w:rsid w:val="208F6BAF"/>
    <w:rsid w:val="20A462BA"/>
    <w:rsid w:val="20A976E7"/>
    <w:rsid w:val="20BF2AAC"/>
    <w:rsid w:val="20C849C7"/>
    <w:rsid w:val="20DF66D2"/>
    <w:rsid w:val="20EC3F2E"/>
    <w:rsid w:val="20EC7C3E"/>
    <w:rsid w:val="21050673"/>
    <w:rsid w:val="210548E9"/>
    <w:rsid w:val="21124D15"/>
    <w:rsid w:val="213E7119"/>
    <w:rsid w:val="21603012"/>
    <w:rsid w:val="21810744"/>
    <w:rsid w:val="21877F23"/>
    <w:rsid w:val="218D6EF5"/>
    <w:rsid w:val="2195668B"/>
    <w:rsid w:val="219707AA"/>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A805E7"/>
    <w:rsid w:val="22C74EE2"/>
    <w:rsid w:val="22CB6237"/>
    <w:rsid w:val="22CD14B5"/>
    <w:rsid w:val="22DC4FC9"/>
    <w:rsid w:val="22E02C6E"/>
    <w:rsid w:val="22E04FF4"/>
    <w:rsid w:val="22E1121B"/>
    <w:rsid w:val="22EA4C70"/>
    <w:rsid w:val="22F75251"/>
    <w:rsid w:val="22F86F75"/>
    <w:rsid w:val="23131055"/>
    <w:rsid w:val="2316334C"/>
    <w:rsid w:val="233C6F76"/>
    <w:rsid w:val="234449F5"/>
    <w:rsid w:val="23536618"/>
    <w:rsid w:val="235A5E8C"/>
    <w:rsid w:val="23816932"/>
    <w:rsid w:val="23876361"/>
    <w:rsid w:val="23A9484E"/>
    <w:rsid w:val="23B32F98"/>
    <w:rsid w:val="23B84268"/>
    <w:rsid w:val="23CE3CE1"/>
    <w:rsid w:val="23D17D7B"/>
    <w:rsid w:val="23D36D91"/>
    <w:rsid w:val="23D65F44"/>
    <w:rsid w:val="23F70BA5"/>
    <w:rsid w:val="23F93D0D"/>
    <w:rsid w:val="24025806"/>
    <w:rsid w:val="2405417E"/>
    <w:rsid w:val="24096754"/>
    <w:rsid w:val="240B3ACA"/>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1A3E5D"/>
    <w:rsid w:val="2521546A"/>
    <w:rsid w:val="252B49E0"/>
    <w:rsid w:val="25566028"/>
    <w:rsid w:val="25734B61"/>
    <w:rsid w:val="2575555D"/>
    <w:rsid w:val="257851FD"/>
    <w:rsid w:val="258B6FDA"/>
    <w:rsid w:val="258F6BC4"/>
    <w:rsid w:val="25975923"/>
    <w:rsid w:val="259A3D0A"/>
    <w:rsid w:val="259C29DF"/>
    <w:rsid w:val="259F452A"/>
    <w:rsid w:val="25A95F3E"/>
    <w:rsid w:val="25BF6041"/>
    <w:rsid w:val="25C35718"/>
    <w:rsid w:val="25CF0252"/>
    <w:rsid w:val="25D0248E"/>
    <w:rsid w:val="25F81D70"/>
    <w:rsid w:val="25FB5636"/>
    <w:rsid w:val="25FE58A9"/>
    <w:rsid w:val="26070462"/>
    <w:rsid w:val="260D2C45"/>
    <w:rsid w:val="2637753E"/>
    <w:rsid w:val="26395C92"/>
    <w:rsid w:val="263E694A"/>
    <w:rsid w:val="26484954"/>
    <w:rsid w:val="266237C3"/>
    <w:rsid w:val="266E1273"/>
    <w:rsid w:val="267550B9"/>
    <w:rsid w:val="26A30ADD"/>
    <w:rsid w:val="26C472EC"/>
    <w:rsid w:val="26E66826"/>
    <w:rsid w:val="26EC491A"/>
    <w:rsid w:val="26ED73E1"/>
    <w:rsid w:val="26EF38F6"/>
    <w:rsid w:val="26F32A72"/>
    <w:rsid w:val="27047832"/>
    <w:rsid w:val="270C6B85"/>
    <w:rsid w:val="27204B5D"/>
    <w:rsid w:val="272F31A0"/>
    <w:rsid w:val="27342901"/>
    <w:rsid w:val="273D2762"/>
    <w:rsid w:val="27470B72"/>
    <w:rsid w:val="27513B3B"/>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7F31110"/>
    <w:rsid w:val="28027A71"/>
    <w:rsid w:val="281F4F67"/>
    <w:rsid w:val="283527C3"/>
    <w:rsid w:val="283744B4"/>
    <w:rsid w:val="28485D62"/>
    <w:rsid w:val="285560D7"/>
    <w:rsid w:val="28760CA0"/>
    <w:rsid w:val="287D6EC0"/>
    <w:rsid w:val="287E4DE4"/>
    <w:rsid w:val="288A05DD"/>
    <w:rsid w:val="28937D89"/>
    <w:rsid w:val="28C96C14"/>
    <w:rsid w:val="28CF57EE"/>
    <w:rsid w:val="28D53334"/>
    <w:rsid w:val="28E138E3"/>
    <w:rsid w:val="28E74216"/>
    <w:rsid w:val="28E87EE4"/>
    <w:rsid w:val="2903396A"/>
    <w:rsid w:val="29207566"/>
    <w:rsid w:val="29235EFC"/>
    <w:rsid w:val="292918ED"/>
    <w:rsid w:val="292B6BBE"/>
    <w:rsid w:val="29470364"/>
    <w:rsid w:val="294E766A"/>
    <w:rsid w:val="2978319A"/>
    <w:rsid w:val="2978571B"/>
    <w:rsid w:val="299752B2"/>
    <w:rsid w:val="2998751F"/>
    <w:rsid w:val="29A3014B"/>
    <w:rsid w:val="29A74CBD"/>
    <w:rsid w:val="29AE4BB2"/>
    <w:rsid w:val="29B01C34"/>
    <w:rsid w:val="29B1237D"/>
    <w:rsid w:val="29B16357"/>
    <w:rsid w:val="29B84F82"/>
    <w:rsid w:val="29BA0D88"/>
    <w:rsid w:val="29CF32B2"/>
    <w:rsid w:val="29DE15A2"/>
    <w:rsid w:val="29E66B13"/>
    <w:rsid w:val="29EF3680"/>
    <w:rsid w:val="29EF424E"/>
    <w:rsid w:val="29F62E74"/>
    <w:rsid w:val="29F93F5E"/>
    <w:rsid w:val="29FA7F26"/>
    <w:rsid w:val="29FB3C21"/>
    <w:rsid w:val="2A0C61D3"/>
    <w:rsid w:val="2A0C677E"/>
    <w:rsid w:val="2A2036AC"/>
    <w:rsid w:val="2A35650F"/>
    <w:rsid w:val="2A405845"/>
    <w:rsid w:val="2A4D593F"/>
    <w:rsid w:val="2A535DD5"/>
    <w:rsid w:val="2A62657E"/>
    <w:rsid w:val="2A6E31F8"/>
    <w:rsid w:val="2A8A2F9C"/>
    <w:rsid w:val="2AAC5A06"/>
    <w:rsid w:val="2ABB3D6F"/>
    <w:rsid w:val="2AC70B30"/>
    <w:rsid w:val="2ACC2AAF"/>
    <w:rsid w:val="2AD74744"/>
    <w:rsid w:val="2AD91AC2"/>
    <w:rsid w:val="2AE57C95"/>
    <w:rsid w:val="2AE752D9"/>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50B30"/>
    <w:rsid w:val="2C9E5AC8"/>
    <w:rsid w:val="2CA24294"/>
    <w:rsid w:val="2CA2721B"/>
    <w:rsid w:val="2CB600FC"/>
    <w:rsid w:val="2CE512AC"/>
    <w:rsid w:val="2D026315"/>
    <w:rsid w:val="2D0764BD"/>
    <w:rsid w:val="2D0B3169"/>
    <w:rsid w:val="2D0D4219"/>
    <w:rsid w:val="2D153544"/>
    <w:rsid w:val="2D2B765F"/>
    <w:rsid w:val="2D2D2DE2"/>
    <w:rsid w:val="2D2F12BE"/>
    <w:rsid w:val="2D340E86"/>
    <w:rsid w:val="2D395427"/>
    <w:rsid w:val="2D3D0E02"/>
    <w:rsid w:val="2D5372BC"/>
    <w:rsid w:val="2D5839DB"/>
    <w:rsid w:val="2D62469E"/>
    <w:rsid w:val="2D6B40A9"/>
    <w:rsid w:val="2D703BA1"/>
    <w:rsid w:val="2D8A3FA2"/>
    <w:rsid w:val="2D9767DC"/>
    <w:rsid w:val="2D980DDC"/>
    <w:rsid w:val="2D987372"/>
    <w:rsid w:val="2DCE26BE"/>
    <w:rsid w:val="2DCE5F69"/>
    <w:rsid w:val="2DDD4F0A"/>
    <w:rsid w:val="2DF81E3E"/>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B3566"/>
    <w:rsid w:val="2EBC2287"/>
    <w:rsid w:val="2ECA3116"/>
    <w:rsid w:val="2EDD7896"/>
    <w:rsid w:val="2EEA6E65"/>
    <w:rsid w:val="2EEB7305"/>
    <w:rsid w:val="2EED2F50"/>
    <w:rsid w:val="2F00052B"/>
    <w:rsid w:val="2F0367CD"/>
    <w:rsid w:val="2F0378D9"/>
    <w:rsid w:val="2F0766FD"/>
    <w:rsid w:val="2F1251F2"/>
    <w:rsid w:val="2F2B39A9"/>
    <w:rsid w:val="2F4D49C0"/>
    <w:rsid w:val="2F4F6FBB"/>
    <w:rsid w:val="2F59234E"/>
    <w:rsid w:val="2F664E2B"/>
    <w:rsid w:val="2F6C7BE3"/>
    <w:rsid w:val="2F705CA6"/>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62663F"/>
    <w:rsid w:val="307A0518"/>
    <w:rsid w:val="30916BB1"/>
    <w:rsid w:val="30962F3E"/>
    <w:rsid w:val="30AA2585"/>
    <w:rsid w:val="30AD7725"/>
    <w:rsid w:val="30C16A19"/>
    <w:rsid w:val="30D32236"/>
    <w:rsid w:val="30FA7530"/>
    <w:rsid w:val="30FE0648"/>
    <w:rsid w:val="30FF2795"/>
    <w:rsid w:val="310375CD"/>
    <w:rsid w:val="311611B3"/>
    <w:rsid w:val="31177244"/>
    <w:rsid w:val="313C313D"/>
    <w:rsid w:val="314E236F"/>
    <w:rsid w:val="315E0B07"/>
    <w:rsid w:val="31621F46"/>
    <w:rsid w:val="316E7AA7"/>
    <w:rsid w:val="316E7CA0"/>
    <w:rsid w:val="316E7DF0"/>
    <w:rsid w:val="317206BF"/>
    <w:rsid w:val="317932EA"/>
    <w:rsid w:val="317E5000"/>
    <w:rsid w:val="31A723A1"/>
    <w:rsid w:val="31B718F2"/>
    <w:rsid w:val="31B912B2"/>
    <w:rsid w:val="31D20051"/>
    <w:rsid w:val="31E11582"/>
    <w:rsid w:val="31EF7EE8"/>
    <w:rsid w:val="3201404F"/>
    <w:rsid w:val="320901F5"/>
    <w:rsid w:val="320B7CCB"/>
    <w:rsid w:val="32105DE8"/>
    <w:rsid w:val="3235187E"/>
    <w:rsid w:val="3237186B"/>
    <w:rsid w:val="323B6798"/>
    <w:rsid w:val="32454376"/>
    <w:rsid w:val="32537B57"/>
    <w:rsid w:val="32567FC0"/>
    <w:rsid w:val="325F618E"/>
    <w:rsid w:val="326B2DFA"/>
    <w:rsid w:val="326D2E9C"/>
    <w:rsid w:val="32757E99"/>
    <w:rsid w:val="32882CBB"/>
    <w:rsid w:val="328F5534"/>
    <w:rsid w:val="329A6ACE"/>
    <w:rsid w:val="32A230DB"/>
    <w:rsid w:val="32A27749"/>
    <w:rsid w:val="32AE4A3C"/>
    <w:rsid w:val="32BA4880"/>
    <w:rsid w:val="32CB6A28"/>
    <w:rsid w:val="32D21971"/>
    <w:rsid w:val="32DF351E"/>
    <w:rsid w:val="32E660DB"/>
    <w:rsid w:val="32EE5E41"/>
    <w:rsid w:val="32F40F87"/>
    <w:rsid w:val="32FD7C76"/>
    <w:rsid w:val="330C22FC"/>
    <w:rsid w:val="33134959"/>
    <w:rsid w:val="33247878"/>
    <w:rsid w:val="33465BE0"/>
    <w:rsid w:val="33540E5D"/>
    <w:rsid w:val="335A0521"/>
    <w:rsid w:val="335E7B11"/>
    <w:rsid w:val="3364318B"/>
    <w:rsid w:val="33691888"/>
    <w:rsid w:val="336A499A"/>
    <w:rsid w:val="33714830"/>
    <w:rsid w:val="33737F51"/>
    <w:rsid w:val="337964FF"/>
    <w:rsid w:val="337D34FB"/>
    <w:rsid w:val="337E7E0F"/>
    <w:rsid w:val="33AB157E"/>
    <w:rsid w:val="33AC3853"/>
    <w:rsid w:val="33B6494D"/>
    <w:rsid w:val="33B86AFE"/>
    <w:rsid w:val="33BF4199"/>
    <w:rsid w:val="33EF62BE"/>
    <w:rsid w:val="33FE62E7"/>
    <w:rsid w:val="340D25F6"/>
    <w:rsid w:val="340F5E5C"/>
    <w:rsid w:val="341B3576"/>
    <w:rsid w:val="34226B44"/>
    <w:rsid w:val="342B76C7"/>
    <w:rsid w:val="342C472B"/>
    <w:rsid w:val="34300B2E"/>
    <w:rsid w:val="343A1527"/>
    <w:rsid w:val="34447898"/>
    <w:rsid w:val="344E62FA"/>
    <w:rsid w:val="3472234D"/>
    <w:rsid w:val="347B114D"/>
    <w:rsid w:val="347D500F"/>
    <w:rsid w:val="34830157"/>
    <w:rsid w:val="34872D27"/>
    <w:rsid w:val="349164BD"/>
    <w:rsid w:val="34B32986"/>
    <w:rsid w:val="34BD02AE"/>
    <w:rsid w:val="34C12126"/>
    <w:rsid w:val="34C42E76"/>
    <w:rsid w:val="34C67823"/>
    <w:rsid w:val="34D13A35"/>
    <w:rsid w:val="34DA26A8"/>
    <w:rsid w:val="34E63919"/>
    <w:rsid w:val="34E960F1"/>
    <w:rsid w:val="34EC7A62"/>
    <w:rsid w:val="35033D8D"/>
    <w:rsid w:val="350B42D5"/>
    <w:rsid w:val="350F6258"/>
    <w:rsid w:val="351622C7"/>
    <w:rsid w:val="351A603C"/>
    <w:rsid w:val="352821F6"/>
    <w:rsid w:val="35387F19"/>
    <w:rsid w:val="3539550B"/>
    <w:rsid w:val="353C7CFC"/>
    <w:rsid w:val="353F422D"/>
    <w:rsid w:val="356652C5"/>
    <w:rsid w:val="356678B4"/>
    <w:rsid w:val="3573649F"/>
    <w:rsid w:val="357E4B0A"/>
    <w:rsid w:val="35866D7F"/>
    <w:rsid w:val="358F6BDF"/>
    <w:rsid w:val="35925C72"/>
    <w:rsid w:val="35A26D98"/>
    <w:rsid w:val="35C0105B"/>
    <w:rsid w:val="35C06D50"/>
    <w:rsid w:val="35C12873"/>
    <w:rsid w:val="35D24294"/>
    <w:rsid w:val="35D85F6C"/>
    <w:rsid w:val="35FC0F9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CB6C73"/>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783E0C"/>
    <w:rsid w:val="378229A7"/>
    <w:rsid w:val="3784394E"/>
    <w:rsid w:val="379425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1779B"/>
    <w:rsid w:val="38764B0E"/>
    <w:rsid w:val="388E5848"/>
    <w:rsid w:val="38A94D18"/>
    <w:rsid w:val="38BD31EE"/>
    <w:rsid w:val="38CB3BDF"/>
    <w:rsid w:val="38D33D29"/>
    <w:rsid w:val="38E04D9C"/>
    <w:rsid w:val="38E40A5B"/>
    <w:rsid w:val="391476F2"/>
    <w:rsid w:val="39227B06"/>
    <w:rsid w:val="39285D57"/>
    <w:rsid w:val="39372A0B"/>
    <w:rsid w:val="394B6470"/>
    <w:rsid w:val="39526430"/>
    <w:rsid w:val="3963745B"/>
    <w:rsid w:val="39790F9D"/>
    <w:rsid w:val="39860592"/>
    <w:rsid w:val="39872512"/>
    <w:rsid w:val="399E5818"/>
    <w:rsid w:val="39A602F9"/>
    <w:rsid w:val="39A611EE"/>
    <w:rsid w:val="39BD45C8"/>
    <w:rsid w:val="39C2316A"/>
    <w:rsid w:val="39D7513A"/>
    <w:rsid w:val="39DB12EF"/>
    <w:rsid w:val="39E50DD5"/>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8E5120"/>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04606"/>
    <w:rsid w:val="3B2D1F45"/>
    <w:rsid w:val="3B307112"/>
    <w:rsid w:val="3B540533"/>
    <w:rsid w:val="3B5A2A22"/>
    <w:rsid w:val="3B632CFB"/>
    <w:rsid w:val="3B7804A3"/>
    <w:rsid w:val="3B8010C0"/>
    <w:rsid w:val="3B817CCD"/>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A37748"/>
    <w:rsid w:val="3DB34E86"/>
    <w:rsid w:val="3DDB4033"/>
    <w:rsid w:val="3DF95812"/>
    <w:rsid w:val="3DFB2413"/>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CF6099"/>
    <w:rsid w:val="3ED0424C"/>
    <w:rsid w:val="3EF31E7F"/>
    <w:rsid w:val="3EF36DF0"/>
    <w:rsid w:val="3F053EF6"/>
    <w:rsid w:val="3F093188"/>
    <w:rsid w:val="3F173F6B"/>
    <w:rsid w:val="3F1E1DE8"/>
    <w:rsid w:val="3F2519D4"/>
    <w:rsid w:val="3F253B0C"/>
    <w:rsid w:val="3F2C04C4"/>
    <w:rsid w:val="3F3E7C9F"/>
    <w:rsid w:val="3F416B99"/>
    <w:rsid w:val="3F4F5AD7"/>
    <w:rsid w:val="3F5617F6"/>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387BEA"/>
    <w:rsid w:val="403A489D"/>
    <w:rsid w:val="404469FD"/>
    <w:rsid w:val="404A2717"/>
    <w:rsid w:val="404E779F"/>
    <w:rsid w:val="4059090D"/>
    <w:rsid w:val="406277A4"/>
    <w:rsid w:val="4065170A"/>
    <w:rsid w:val="406E5CAB"/>
    <w:rsid w:val="40713C35"/>
    <w:rsid w:val="40745F23"/>
    <w:rsid w:val="407A4F80"/>
    <w:rsid w:val="40830062"/>
    <w:rsid w:val="40836272"/>
    <w:rsid w:val="408376F8"/>
    <w:rsid w:val="40A25054"/>
    <w:rsid w:val="40A325E0"/>
    <w:rsid w:val="40BD0DA1"/>
    <w:rsid w:val="40C93CB0"/>
    <w:rsid w:val="40EC7D18"/>
    <w:rsid w:val="40ED11A0"/>
    <w:rsid w:val="40FD1BF0"/>
    <w:rsid w:val="41096BC0"/>
    <w:rsid w:val="410A75B6"/>
    <w:rsid w:val="410B452A"/>
    <w:rsid w:val="413353F1"/>
    <w:rsid w:val="41380956"/>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3458DC"/>
    <w:rsid w:val="424B5824"/>
    <w:rsid w:val="42685900"/>
    <w:rsid w:val="426973AD"/>
    <w:rsid w:val="427A67A1"/>
    <w:rsid w:val="427E0B36"/>
    <w:rsid w:val="42874976"/>
    <w:rsid w:val="42884359"/>
    <w:rsid w:val="429D0E20"/>
    <w:rsid w:val="42A03D98"/>
    <w:rsid w:val="42B51497"/>
    <w:rsid w:val="42B94BC1"/>
    <w:rsid w:val="42C30254"/>
    <w:rsid w:val="42C42A08"/>
    <w:rsid w:val="42D064B1"/>
    <w:rsid w:val="42DE48A3"/>
    <w:rsid w:val="42E16058"/>
    <w:rsid w:val="42F17BF5"/>
    <w:rsid w:val="42F87EC9"/>
    <w:rsid w:val="42FA3C57"/>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4E7AE4"/>
    <w:rsid w:val="445E4DEE"/>
    <w:rsid w:val="44640994"/>
    <w:rsid w:val="446456BB"/>
    <w:rsid w:val="446B0434"/>
    <w:rsid w:val="4474746D"/>
    <w:rsid w:val="44756A66"/>
    <w:rsid w:val="447C30C1"/>
    <w:rsid w:val="447E4EBE"/>
    <w:rsid w:val="447F0CBA"/>
    <w:rsid w:val="44957F46"/>
    <w:rsid w:val="44994CF5"/>
    <w:rsid w:val="44DC46EB"/>
    <w:rsid w:val="44E95F5D"/>
    <w:rsid w:val="44F03F8F"/>
    <w:rsid w:val="44F14ECF"/>
    <w:rsid w:val="44FF3FEC"/>
    <w:rsid w:val="45275172"/>
    <w:rsid w:val="452754C3"/>
    <w:rsid w:val="45332511"/>
    <w:rsid w:val="453C48A0"/>
    <w:rsid w:val="45412C46"/>
    <w:rsid w:val="45514AD5"/>
    <w:rsid w:val="4552412E"/>
    <w:rsid w:val="45554550"/>
    <w:rsid w:val="455908C0"/>
    <w:rsid w:val="456149B2"/>
    <w:rsid w:val="45644E09"/>
    <w:rsid w:val="45761EDD"/>
    <w:rsid w:val="45796CCA"/>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05236"/>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8F6FAE"/>
    <w:rsid w:val="479128A9"/>
    <w:rsid w:val="47975EDC"/>
    <w:rsid w:val="47983B19"/>
    <w:rsid w:val="47A3609D"/>
    <w:rsid w:val="47C01792"/>
    <w:rsid w:val="47C57A48"/>
    <w:rsid w:val="47D511BD"/>
    <w:rsid w:val="47D52718"/>
    <w:rsid w:val="47FF1754"/>
    <w:rsid w:val="4808150F"/>
    <w:rsid w:val="480F51A8"/>
    <w:rsid w:val="48256B1B"/>
    <w:rsid w:val="48282713"/>
    <w:rsid w:val="484417FA"/>
    <w:rsid w:val="48450ECE"/>
    <w:rsid w:val="484759CD"/>
    <w:rsid w:val="484A10F9"/>
    <w:rsid w:val="484B14EC"/>
    <w:rsid w:val="48607C4D"/>
    <w:rsid w:val="486962FA"/>
    <w:rsid w:val="48713351"/>
    <w:rsid w:val="48802846"/>
    <w:rsid w:val="48850157"/>
    <w:rsid w:val="48AB67D3"/>
    <w:rsid w:val="48B116EA"/>
    <w:rsid w:val="48B74C7A"/>
    <w:rsid w:val="48BE32BF"/>
    <w:rsid w:val="48C354EC"/>
    <w:rsid w:val="48C61E50"/>
    <w:rsid w:val="48CB2583"/>
    <w:rsid w:val="48CC564D"/>
    <w:rsid w:val="48D429DD"/>
    <w:rsid w:val="48E01C77"/>
    <w:rsid w:val="48E22285"/>
    <w:rsid w:val="48E50D90"/>
    <w:rsid w:val="48FA15CC"/>
    <w:rsid w:val="49002A7B"/>
    <w:rsid w:val="491B63DF"/>
    <w:rsid w:val="491D63E9"/>
    <w:rsid w:val="49285E6A"/>
    <w:rsid w:val="492A068A"/>
    <w:rsid w:val="4932285C"/>
    <w:rsid w:val="493E2F78"/>
    <w:rsid w:val="4948613B"/>
    <w:rsid w:val="495217DF"/>
    <w:rsid w:val="4958367A"/>
    <w:rsid w:val="496E52F3"/>
    <w:rsid w:val="497F41A4"/>
    <w:rsid w:val="49814AF9"/>
    <w:rsid w:val="498A16CD"/>
    <w:rsid w:val="49A13EF6"/>
    <w:rsid w:val="49A33C27"/>
    <w:rsid w:val="49A750B5"/>
    <w:rsid w:val="49BE07DA"/>
    <w:rsid w:val="49C84AA0"/>
    <w:rsid w:val="49D7694D"/>
    <w:rsid w:val="49ED2797"/>
    <w:rsid w:val="4A0244D3"/>
    <w:rsid w:val="4A255046"/>
    <w:rsid w:val="4A28799C"/>
    <w:rsid w:val="4A2E1525"/>
    <w:rsid w:val="4A2E4DBF"/>
    <w:rsid w:val="4A451752"/>
    <w:rsid w:val="4A5A756D"/>
    <w:rsid w:val="4A6174B0"/>
    <w:rsid w:val="4A785772"/>
    <w:rsid w:val="4A89105B"/>
    <w:rsid w:val="4AA341CC"/>
    <w:rsid w:val="4AB94963"/>
    <w:rsid w:val="4AC13295"/>
    <w:rsid w:val="4AC31003"/>
    <w:rsid w:val="4AC40F4C"/>
    <w:rsid w:val="4AD25F33"/>
    <w:rsid w:val="4AE072CB"/>
    <w:rsid w:val="4AE1726E"/>
    <w:rsid w:val="4AE93159"/>
    <w:rsid w:val="4AF02EA1"/>
    <w:rsid w:val="4AFC326D"/>
    <w:rsid w:val="4B174032"/>
    <w:rsid w:val="4B250CF8"/>
    <w:rsid w:val="4B37368A"/>
    <w:rsid w:val="4B3E7ACE"/>
    <w:rsid w:val="4B57342A"/>
    <w:rsid w:val="4B7C4100"/>
    <w:rsid w:val="4B830F9B"/>
    <w:rsid w:val="4B9B0C47"/>
    <w:rsid w:val="4B9D4011"/>
    <w:rsid w:val="4BB36BDD"/>
    <w:rsid w:val="4BC32290"/>
    <w:rsid w:val="4BCF2E43"/>
    <w:rsid w:val="4BD0339A"/>
    <w:rsid w:val="4BE90D9B"/>
    <w:rsid w:val="4BF32495"/>
    <w:rsid w:val="4BFA3FA2"/>
    <w:rsid w:val="4C0B00AC"/>
    <w:rsid w:val="4C2A4544"/>
    <w:rsid w:val="4C2B4DDD"/>
    <w:rsid w:val="4C3E7365"/>
    <w:rsid w:val="4C562920"/>
    <w:rsid w:val="4C575207"/>
    <w:rsid w:val="4C5D1F92"/>
    <w:rsid w:val="4C603F16"/>
    <w:rsid w:val="4C6262E0"/>
    <w:rsid w:val="4C6703A3"/>
    <w:rsid w:val="4C6D7518"/>
    <w:rsid w:val="4C743E16"/>
    <w:rsid w:val="4C7950C1"/>
    <w:rsid w:val="4C81419F"/>
    <w:rsid w:val="4C923A72"/>
    <w:rsid w:val="4C9E2807"/>
    <w:rsid w:val="4CB96B0F"/>
    <w:rsid w:val="4CC151FB"/>
    <w:rsid w:val="4CC42739"/>
    <w:rsid w:val="4CD315DD"/>
    <w:rsid w:val="4CD57D1F"/>
    <w:rsid w:val="4CE34E9F"/>
    <w:rsid w:val="4CED698D"/>
    <w:rsid w:val="4CF52D94"/>
    <w:rsid w:val="4D1D3051"/>
    <w:rsid w:val="4D277AC4"/>
    <w:rsid w:val="4D43301D"/>
    <w:rsid w:val="4D462159"/>
    <w:rsid w:val="4D5366C7"/>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2A3DC3"/>
    <w:rsid w:val="4E4C50A3"/>
    <w:rsid w:val="4E510698"/>
    <w:rsid w:val="4E576363"/>
    <w:rsid w:val="4E635567"/>
    <w:rsid w:val="4E742982"/>
    <w:rsid w:val="4E9C0636"/>
    <w:rsid w:val="4EA30DB6"/>
    <w:rsid w:val="4EA7341F"/>
    <w:rsid w:val="4EBD1E5A"/>
    <w:rsid w:val="4EC50C90"/>
    <w:rsid w:val="4EDB58B2"/>
    <w:rsid w:val="4EE925CE"/>
    <w:rsid w:val="4EEF2E30"/>
    <w:rsid w:val="4EF24828"/>
    <w:rsid w:val="4EFE7F59"/>
    <w:rsid w:val="4F171C50"/>
    <w:rsid w:val="4F252466"/>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AC011D"/>
    <w:rsid w:val="50AC6DEA"/>
    <w:rsid w:val="50B16618"/>
    <w:rsid w:val="50BB6306"/>
    <w:rsid w:val="50CA0599"/>
    <w:rsid w:val="50DB62B4"/>
    <w:rsid w:val="50DD524F"/>
    <w:rsid w:val="50F83FF3"/>
    <w:rsid w:val="50F8688B"/>
    <w:rsid w:val="50FC4E36"/>
    <w:rsid w:val="5105169B"/>
    <w:rsid w:val="51062881"/>
    <w:rsid w:val="510861B3"/>
    <w:rsid w:val="510956BD"/>
    <w:rsid w:val="51204113"/>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105559"/>
    <w:rsid w:val="52272B85"/>
    <w:rsid w:val="523E09B5"/>
    <w:rsid w:val="524D3051"/>
    <w:rsid w:val="525770DA"/>
    <w:rsid w:val="525A1C6E"/>
    <w:rsid w:val="525E17DE"/>
    <w:rsid w:val="52687B2A"/>
    <w:rsid w:val="526E0E82"/>
    <w:rsid w:val="52734F68"/>
    <w:rsid w:val="527901C6"/>
    <w:rsid w:val="52A24532"/>
    <w:rsid w:val="52A45841"/>
    <w:rsid w:val="52AD4DA6"/>
    <w:rsid w:val="52B3363A"/>
    <w:rsid w:val="52C320BF"/>
    <w:rsid w:val="52C4202F"/>
    <w:rsid w:val="52C4763C"/>
    <w:rsid w:val="52DE691D"/>
    <w:rsid w:val="52E04D27"/>
    <w:rsid w:val="52EA4FDF"/>
    <w:rsid w:val="52ED0C96"/>
    <w:rsid w:val="53061721"/>
    <w:rsid w:val="530C0E6B"/>
    <w:rsid w:val="53123B04"/>
    <w:rsid w:val="53194965"/>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058C2"/>
    <w:rsid w:val="53F31811"/>
    <w:rsid w:val="53F91A55"/>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10199"/>
    <w:rsid w:val="54D202CA"/>
    <w:rsid w:val="54D54E59"/>
    <w:rsid w:val="54DC7A0E"/>
    <w:rsid w:val="54DD41DB"/>
    <w:rsid w:val="54E43C38"/>
    <w:rsid w:val="54ED3D78"/>
    <w:rsid w:val="54F52BA3"/>
    <w:rsid w:val="54F54E04"/>
    <w:rsid w:val="550B4121"/>
    <w:rsid w:val="550D38AC"/>
    <w:rsid w:val="550D5CFC"/>
    <w:rsid w:val="55197997"/>
    <w:rsid w:val="552A6B56"/>
    <w:rsid w:val="552F46A8"/>
    <w:rsid w:val="55304026"/>
    <w:rsid w:val="5532385A"/>
    <w:rsid w:val="554748F2"/>
    <w:rsid w:val="554D414C"/>
    <w:rsid w:val="554E7279"/>
    <w:rsid w:val="55594FFB"/>
    <w:rsid w:val="55637CEB"/>
    <w:rsid w:val="55650960"/>
    <w:rsid w:val="55757FB9"/>
    <w:rsid w:val="557D58C1"/>
    <w:rsid w:val="55884237"/>
    <w:rsid w:val="558C7FAA"/>
    <w:rsid w:val="55A25EB7"/>
    <w:rsid w:val="55A82784"/>
    <w:rsid w:val="55A97512"/>
    <w:rsid w:val="55B63FD5"/>
    <w:rsid w:val="55C103D3"/>
    <w:rsid w:val="55C35A76"/>
    <w:rsid w:val="55D02A22"/>
    <w:rsid w:val="55D40743"/>
    <w:rsid w:val="55DD6F2A"/>
    <w:rsid w:val="55E8339E"/>
    <w:rsid w:val="55E95892"/>
    <w:rsid w:val="55F06771"/>
    <w:rsid w:val="560B1622"/>
    <w:rsid w:val="56106284"/>
    <w:rsid w:val="562C1706"/>
    <w:rsid w:val="5632642A"/>
    <w:rsid w:val="56375B61"/>
    <w:rsid w:val="564944F4"/>
    <w:rsid w:val="564E5820"/>
    <w:rsid w:val="565E6D49"/>
    <w:rsid w:val="56630C00"/>
    <w:rsid w:val="567739D2"/>
    <w:rsid w:val="567B29ED"/>
    <w:rsid w:val="5686536D"/>
    <w:rsid w:val="568B1DB1"/>
    <w:rsid w:val="56902708"/>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C54C7F"/>
    <w:rsid w:val="57FC07D9"/>
    <w:rsid w:val="57FF6992"/>
    <w:rsid w:val="580F1B21"/>
    <w:rsid w:val="581B7E79"/>
    <w:rsid w:val="58500F22"/>
    <w:rsid w:val="58587379"/>
    <w:rsid w:val="586D57A3"/>
    <w:rsid w:val="586F2391"/>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3B1EE8"/>
    <w:rsid w:val="594079B2"/>
    <w:rsid w:val="594A13D7"/>
    <w:rsid w:val="595346FA"/>
    <w:rsid w:val="5987482A"/>
    <w:rsid w:val="599C49A8"/>
    <w:rsid w:val="59A36725"/>
    <w:rsid w:val="59B21BF9"/>
    <w:rsid w:val="59BB4EA3"/>
    <w:rsid w:val="59E9525B"/>
    <w:rsid w:val="59FE5B32"/>
    <w:rsid w:val="5A0F7992"/>
    <w:rsid w:val="5A2E75CA"/>
    <w:rsid w:val="5A3C0F08"/>
    <w:rsid w:val="5A3E5B83"/>
    <w:rsid w:val="5A5663A3"/>
    <w:rsid w:val="5A571746"/>
    <w:rsid w:val="5A6253E3"/>
    <w:rsid w:val="5A674D2B"/>
    <w:rsid w:val="5A897C95"/>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C5103"/>
    <w:rsid w:val="5B460A9E"/>
    <w:rsid w:val="5B486DCE"/>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65D7E"/>
    <w:rsid w:val="5C1A3A93"/>
    <w:rsid w:val="5C235386"/>
    <w:rsid w:val="5C3B6CFC"/>
    <w:rsid w:val="5C49647C"/>
    <w:rsid w:val="5C4C2CF4"/>
    <w:rsid w:val="5C5A77B9"/>
    <w:rsid w:val="5C6B1600"/>
    <w:rsid w:val="5C712B6D"/>
    <w:rsid w:val="5C74256C"/>
    <w:rsid w:val="5C7D70D1"/>
    <w:rsid w:val="5C8542A8"/>
    <w:rsid w:val="5C88775A"/>
    <w:rsid w:val="5C975416"/>
    <w:rsid w:val="5CA1479B"/>
    <w:rsid w:val="5CA6294E"/>
    <w:rsid w:val="5CAB7154"/>
    <w:rsid w:val="5CD10E53"/>
    <w:rsid w:val="5CD8648B"/>
    <w:rsid w:val="5CDB2E8C"/>
    <w:rsid w:val="5CDB3358"/>
    <w:rsid w:val="5CED4E0C"/>
    <w:rsid w:val="5CEF1DC1"/>
    <w:rsid w:val="5CF94FAE"/>
    <w:rsid w:val="5D034EE9"/>
    <w:rsid w:val="5D0366E8"/>
    <w:rsid w:val="5D044FED"/>
    <w:rsid w:val="5D0547F4"/>
    <w:rsid w:val="5D0A06B6"/>
    <w:rsid w:val="5D1307E8"/>
    <w:rsid w:val="5D1928CC"/>
    <w:rsid w:val="5D1C3851"/>
    <w:rsid w:val="5D212A05"/>
    <w:rsid w:val="5D2F4802"/>
    <w:rsid w:val="5D3045D9"/>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4480E"/>
    <w:rsid w:val="5E85633A"/>
    <w:rsid w:val="5E921A45"/>
    <w:rsid w:val="5E975993"/>
    <w:rsid w:val="5EAE61E6"/>
    <w:rsid w:val="5EB51FDE"/>
    <w:rsid w:val="5EBA4472"/>
    <w:rsid w:val="5ECA3D37"/>
    <w:rsid w:val="5EE153F8"/>
    <w:rsid w:val="5EED7893"/>
    <w:rsid w:val="5F0804FE"/>
    <w:rsid w:val="5F0A3A61"/>
    <w:rsid w:val="5F4F1B95"/>
    <w:rsid w:val="5F683B6E"/>
    <w:rsid w:val="5F734541"/>
    <w:rsid w:val="5F875C0C"/>
    <w:rsid w:val="5F8F0B9E"/>
    <w:rsid w:val="5F8F267A"/>
    <w:rsid w:val="5F9271B7"/>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37223"/>
    <w:rsid w:val="60470CE3"/>
    <w:rsid w:val="60673C40"/>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6082"/>
    <w:rsid w:val="61421EFD"/>
    <w:rsid w:val="61564B4F"/>
    <w:rsid w:val="615C5041"/>
    <w:rsid w:val="61613111"/>
    <w:rsid w:val="61635733"/>
    <w:rsid w:val="61705965"/>
    <w:rsid w:val="6182260C"/>
    <w:rsid w:val="61D43A2B"/>
    <w:rsid w:val="61FF316E"/>
    <w:rsid w:val="620D1D12"/>
    <w:rsid w:val="620F4BAD"/>
    <w:rsid w:val="621542CB"/>
    <w:rsid w:val="62175DCD"/>
    <w:rsid w:val="62383C38"/>
    <w:rsid w:val="624263A2"/>
    <w:rsid w:val="624E028B"/>
    <w:rsid w:val="625272C3"/>
    <w:rsid w:val="626A48D3"/>
    <w:rsid w:val="62715337"/>
    <w:rsid w:val="6280204D"/>
    <w:rsid w:val="62817F80"/>
    <w:rsid w:val="629022FB"/>
    <w:rsid w:val="6290769B"/>
    <w:rsid w:val="62943D08"/>
    <w:rsid w:val="62A411F8"/>
    <w:rsid w:val="62BA7A46"/>
    <w:rsid w:val="62C376AC"/>
    <w:rsid w:val="62CE13CB"/>
    <w:rsid w:val="62D2197B"/>
    <w:rsid w:val="62DE7A88"/>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1F338B"/>
    <w:rsid w:val="64214E44"/>
    <w:rsid w:val="64264A79"/>
    <w:rsid w:val="64304E58"/>
    <w:rsid w:val="64311867"/>
    <w:rsid w:val="64371EC0"/>
    <w:rsid w:val="64391ED3"/>
    <w:rsid w:val="6445632E"/>
    <w:rsid w:val="646A0BCA"/>
    <w:rsid w:val="64746F5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4EF2"/>
    <w:rsid w:val="665654C1"/>
    <w:rsid w:val="665B55EA"/>
    <w:rsid w:val="66655F85"/>
    <w:rsid w:val="66697B98"/>
    <w:rsid w:val="667C7AEC"/>
    <w:rsid w:val="66920EDD"/>
    <w:rsid w:val="66984358"/>
    <w:rsid w:val="669B59E7"/>
    <w:rsid w:val="669B7C76"/>
    <w:rsid w:val="66A200F8"/>
    <w:rsid w:val="66A30EC2"/>
    <w:rsid w:val="66A45B16"/>
    <w:rsid w:val="66AA4BA8"/>
    <w:rsid w:val="66C955BD"/>
    <w:rsid w:val="66DC317D"/>
    <w:rsid w:val="66EB4314"/>
    <w:rsid w:val="670C6D27"/>
    <w:rsid w:val="670D67CE"/>
    <w:rsid w:val="67105BAB"/>
    <w:rsid w:val="6717041F"/>
    <w:rsid w:val="671B1631"/>
    <w:rsid w:val="67302DC3"/>
    <w:rsid w:val="674318B2"/>
    <w:rsid w:val="6746062E"/>
    <w:rsid w:val="67482028"/>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301C4F"/>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2410C"/>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87125"/>
    <w:rsid w:val="6A6B4F3D"/>
    <w:rsid w:val="6A711183"/>
    <w:rsid w:val="6A762B91"/>
    <w:rsid w:val="6A7B4B9C"/>
    <w:rsid w:val="6A846AE1"/>
    <w:rsid w:val="6A8D03FC"/>
    <w:rsid w:val="6A973A89"/>
    <w:rsid w:val="6AA14A8E"/>
    <w:rsid w:val="6AA516B2"/>
    <w:rsid w:val="6AAF014C"/>
    <w:rsid w:val="6ACA169B"/>
    <w:rsid w:val="6ACB082B"/>
    <w:rsid w:val="6AD3247E"/>
    <w:rsid w:val="6AE12DE8"/>
    <w:rsid w:val="6AEB36F7"/>
    <w:rsid w:val="6AF4047B"/>
    <w:rsid w:val="6AF805EA"/>
    <w:rsid w:val="6B1D68BE"/>
    <w:rsid w:val="6B2B0EFD"/>
    <w:rsid w:val="6B2C13E4"/>
    <w:rsid w:val="6B4B0A4C"/>
    <w:rsid w:val="6B50310B"/>
    <w:rsid w:val="6B5045E2"/>
    <w:rsid w:val="6B736A2E"/>
    <w:rsid w:val="6B8170D6"/>
    <w:rsid w:val="6B884219"/>
    <w:rsid w:val="6B90781F"/>
    <w:rsid w:val="6B974370"/>
    <w:rsid w:val="6B9C76AD"/>
    <w:rsid w:val="6BA9194F"/>
    <w:rsid w:val="6BAC41DA"/>
    <w:rsid w:val="6BE66E12"/>
    <w:rsid w:val="6BE727F5"/>
    <w:rsid w:val="6BF36ABE"/>
    <w:rsid w:val="6C240DF3"/>
    <w:rsid w:val="6C2E6123"/>
    <w:rsid w:val="6C45610F"/>
    <w:rsid w:val="6C547243"/>
    <w:rsid w:val="6C59472D"/>
    <w:rsid w:val="6C5A4564"/>
    <w:rsid w:val="6C603744"/>
    <w:rsid w:val="6C637CCF"/>
    <w:rsid w:val="6C646F5A"/>
    <w:rsid w:val="6C7802EB"/>
    <w:rsid w:val="6C79488C"/>
    <w:rsid w:val="6C86130C"/>
    <w:rsid w:val="6C89456C"/>
    <w:rsid w:val="6CA20D5B"/>
    <w:rsid w:val="6CA41AC3"/>
    <w:rsid w:val="6CC14E69"/>
    <w:rsid w:val="6CC46C99"/>
    <w:rsid w:val="6CD63FB3"/>
    <w:rsid w:val="6D056EA6"/>
    <w:rsid w:val="6D221E52"/>
    <w:rsid w:val="6D227835"/>
    <w:rsid w:val="6D3C6626"/>
    <w:rsid w:val="6D5D0DB5"/>
    <w:rsid w:val="6D6855B1"/>
    <w:rsid w:val="6D7B12C8"/>
    <w:rsid w:val="6D7B4AB7"/>
    <w:rsid w:val="6D7C5FAF"/>
    <w:rsid w:val="6D880A34"/>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5F14A0"/>
    <w:rsid w:val="6E635028"/>
    <w:rsid w:val="6E636A71"/>
    <w:rsid w:val="6E685B0A"/>
    <w:rsid w:val="6E695F11"/>
    <w:rsid w:val="6E73404A"/>
    <w:rsid w:val="6E7355AA"/>
    <w:rsid w:val="6E8C55BB"/>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7A62F8"/>
    <w:rsid w:val="6F842B01"/>
    <w:rsid w:val="6F975588"/>
    <w:rsid w:val="6FA629D4"/>
    <w:rsid w:val="6FA6727C"/>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839B7"/>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34A90"/>
    <w:rsid w:val="70C6646C"/>
    <w:rsid w:val="70FC2D1E"/>
    <w:rsid w:val="71015D6B"/>
    <w:rsid w:val="71124721"/>
    <w:rsid w:val="71151975"/>
    <w:rsid w:val="71223933"/>
    <w:rsid w:val="71336A65"/>
    <w:rsid w:val="713B0E5B"/>
    <w:rsid w:val="71486F62"/>
    <w:rsid w:val="71511268"/>
    <w:rsid w:val="71545B37"/>
    <w:rsid w:val="71573E01"/>
    <w:rsid w:val="71620B3A"/>
    <w:rsid w:val="71702748"/>
    <w:rsid w:val="717F0007"/>
    <w:rsid w:val="71867894"/>
    <w:rsid w:val="719F7A78"/>
    <w:rsid w:val="71C7540C"/>
    <w:rsid w:val="71CB1BB9"/>
    <w:rsid w:val="71D338EC"/>
    <w:rsid w:val="71F54B5B"/>
    <w:rsid w:val="71F64A63"/>
    <w:rsid w:val="71F870B8"/>
    <w:rsid w:val="72021233"/>
    <w:rsid w:val="720A5AC6"/>
    <w:rsid w:val="720B2A1D"/>
    <w:rsid w:val="72174817"/>
    <w:rsid w:val="721A3F70"/>
    <w:rsid w:val="7240003C"/>
    <w:rsid w:val="727C422C"/>
    <w:rsid w:val="728F0124"/>
    <w:rsid w:val="7292045A"/>
    <w:rsid w:val="72974DBE"/>
    <w:rsid w:val="729E19CA"/>
    <w:rsid w:val="72A20C20"/>
    <w:rsid w:val="72AC5E95"/>
    <w:rsid w:val="72C13ED7"/>
    <w:rsid w:val="72C82804"/>
    <w:rsid w:val="72CF1AC7"/>
    <w:rsid w:val="72E42AFA"/>
    <w:rsid w:val="72E85578"/>
    <w:rsid w:val="72EB270B"/>
    <w:rsid w:val="72EB4466"/>
    <w:rsid w:val="72FB1EA7"/>
    <w:rsid w:val="72FD426E"/>
    <w:rsid w:val="73004315"/>
    <w:rsid w:val="73043CFC"/>
    <w:rsid w:val="73161882"/>
    <w:rsid w:val="732C334F"/>
    <w:rsid w:val="73417F8E"/>
    <w:rsid w:val="734F0C79"/>
    <w:rsid w:val="734F4185"/>
    <w:rsid w:val="73520620"/>
    <w:rsid w:val="7363274A"/>
    <w:rsid w:val="73691A4A"/>
    <w:rsid w:val="737807F3"/>
    <w:rsid w:val="738A6895"/>
    <w:rsid w:val="73AE569E"/>
    <w:rsid w:val="73B4197F"/>
    <w:rsid w:val="73BC7089"/>
    <w:rsid w:val="73BE7067"/>
    <w:rsid w:val="73E52294"/>
    <w:rsid w:val="73F310C6"/>
    <w:rsid w:val="73FF2D64"/>
    <w:rsid w:val="740B01C3"/>
    <w:rsid w:val="74137154"/>
    <w:rsid w:val="74236DD6"/>
    <w:rsid w:val="74257F79"/>
    <w:rsid w:val="74273820"/>
    <w:rsid w:val="7427471C"/>
    <w:rsid w:val="742E3A0F"/>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07339"/>
    <w:rsid w:val="75752B04"/>
    <w:rsid w:val="75783839"/>
    <w:rsid w:val="758910BB"/>
    <w:rsid w:val="759558DF"/>
    <w:rsid w:val="75955DA9"/>
    <w:rsid w:val="75977910"/>
    <w:rsid w:val="759F2A35"/>
    <w:rsid w:val="75B00123"/>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0922D8"/>
    <w:rsid w:val="77104401"/>
    <w:rsid w:val="771B67DF"/>
    <w:rsid w:val="77451578"/>
    <w:rsid w:val="77552EF5"/>
    <w:rsid w:val="77692EA3"/>
    <w:rsid w:val="776C16FD"/>
    <w:rsid w:val="77806994"/>
    <w:rsid w:val="77825248"/>
    <w:rsid w:val="7785098B"/>
    <w:rsid w:val="77870D91"/>
    <w:rsid w:val="778A3229"/>
    <w:rsid w:val="779258CC"/>
    <w:rsid w:val="7794068F"/>
    <w:rsid w:val="77960EFC"/>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B31DCA"/>
    <w:rsid w:val="78B96895"/>
    <w:rsid w:val="78C53485"/>
    <w:rsid w:val="78C7038D"/>
    <w:rsid w:val="78C76A01"/>
    <w:rsid w:val="78CE058C"/>
    <w:rsid w:val="78EC45D8"/>
    <w:rsid w:val="78EC6DF0"/>
    <w:rsid w:val="78F5335B"/>
    <w:rsid w:val="7915309D"/>
    <w:rsid w:val="791843E7"/>
    <w:rsid w:val="79272A8A"/>
    <w:rsid w:val="792730E6"/>
    <w:rsid w:val="79395A92"/>
    <w:rsid w:val="794008FB"/>
    <w:rsid w:val="794708D9"/>
    <w:rsid w:val="794B21A1"/>
    <w:rsid w:val="795D4CA8"/>
    <w:rsid w:val="7964574A"/>
    <w:rsid w:val="79941CF2"/>
    <w:rsid w:val="79973382"/>
    <w:rsid w:val="79BE31CC"/>
    <w:rsid w:val="79CC3C1F"/>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B489D"/>
    <w:rsid w:val="7ADC0950"/>
    <w:rsid w:val="7ADC0B33"/>
    <w:rsid w:val="7ADE6462"/>
    <w:rsid w:val="7AE14C19"/>
    <w:rsid w:val="7AEA174E"/>
    <w:rsid w:val="7AF013D3"/>
    <w:rsid w:val="7B274176"/>
    <w:rsid w:val="7B2B3677"/>
    <w:rsid w:val="7B356407"/>
    <w:rsid w:val="7B376A22"/>
    <w:rsid w:val="7B401C79"/>
    <w:rsid w:val="7B440ED6"/>
    <w:rsid w:val="7B4678D7"/>
    <w:rsid w:val="7B4B2A93"/>
    <w:rsid w:val="7B527515"/>
    <w:rsid w:val="7B5922B3"/>
    <w:rsid w:val="7B890A24"/>
    <w:rsid w:val="7B8F1752"/>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6D7F45"/>
    <w:rsid w:val="7C77043F"/>
    <w:rsid w:val="7C8A7CDC"/>
    <w:rsid w:val="7C924172"/>
    <w:rsid w:val="7C9E5A24"/>
    <w:rsid w:val="7CAB7A96"/>
    <w:rsid w:val="7CB4006B"/>
    <w:rsid w:val="7CB92AA1"/>
    <w:rsid w:val="7CB93ABB"/>
    <w:rsid w:val="7CB9570E"/>
    <w:rsid w:val="7CCF6FA5"/>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150FA6"/>
    <w:rsid w:val="7E325778"/>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004A5"/>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 w:type="character" w:customStyle="1" w:styleId="77">
    <w:name w:val="ui-provider"/>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58</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2024-08-09T12:41:00Z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